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BF6A" w14:textId="7095A31D" w:rsidR="004D0D41" w:rsidRPr="002A7033" w:rsidRDefault="002A7033" w:rsidP="002A7033">
      <w:pPr>
        <w:pStyle w:val="NormalWeb"/>
        <w:spacing w:before="8" w:beforeAutospacing="0"/>
        <w:rPr>
          <w:rFonts w:asciiTheme="minorHAnsi" w:eastAsiaTheme="minorEastAsia" w:hAnsiTheme="minorHAnsi" w:cstheme="minorHAnsi"/>
          <w:sz w:val="20"/>
          <w:szCs w:val="20"/>
        </w:rPr>
      </w:pPr>
      <w:r>
        <w:rPr>
          <w:rFonts w:asciiTheme="minorHAnsi" w:eastAsiaTheme="minorEastAsia" w:hAnsiTheme="minorHAnsi" w:cstheme="minorBidi"/>
          <w:sz w:val="20"/>
          <w:szCs w:val="20"/>
        </w:rPr>
        <w:br/>
      </w:r>
      <w:r w:rsidR="004D0D41" w:rsidRPr="002A7033">
        <w:rPr>
          <w:rFonts w:asciiTheme="minorHAnsi" w:eastAsiaTheme="minorEastAsia" w:hAnsiTheme="minorHAnsi" w:cstheme="minorHAnsi"/>
          <w:sz w:val="20"/>
          <w:szCs w:val="20"/>
        </w:rPr>
        <w:t xml:space="preserve">You are enrolled in one or more dual credit courses (eligible for college credit through MCC, in addition to high school credit) for the </w:t>
      </w:r>
      <w:r w:rsidR="00892D80">
        <w:rPr>
          <w:rFonts w:asciiTheme="minorHAnsi" w:eastAsiaTheme="minorEastAsia" w:hAnsiTheme="minorHAnsi" w:cstheme="minorHAnsi"/>
          <w:sz w:val="20"/>
          <w:szCs w:val="20"/>
        </w:rPr>
        <w:t>Spring</w:t>
      </w:r>
      <w:r w:rsidR="004D0D41" w:rsidRPr="002A7033">
        <w:rPr>
          <w:rFonts w:asciiTheme="minorHAnsi" w:eastAsiaTheme="minorEastAsia" w:hAnsiTheme="minorHAnsi" w:cstheme="minorHAnsi"/>
          <w:sz w:val="20"/>
          <w:szCs w:val="20"/>
        </w:rPr>
        <w:t xml:space="preserve"> 202</w:t>
      </w:r>
      <w:r w:rsidR="00892D80">
        <w:rPr>
          <w:rFonts w:asciiTheme="minorHAnsi" w:eastAsiaTheme="minorEastAsia" w:hAnsiTheme="minorHAnsi" w:cstheme="minorHAnsi"/>
          <w:sz w:val="20"/>
          <w:szCs w:val="20"/>
        </w:rPr>
        <w:t>2</w:t>
      </w:r>
      <w:r w:rsidR="004D0D41" w:rsidRPr="002A7033">
        <w:rPr>
          <w:rFonts w:asciiTheme="minorHAnsi" w:eastAsiaTheme="minorEastAsia" w:hAnsiTheme="minorHAnsi" w:cstheme="minorHAnsi"/>
          <w:sz w:val="20"/>
          <w:szCs w:val="20"/>
        </w:rPr>
        <w:t xml:space="preserve"> semester. </w:t>
      </w:r>
      <w:r w:rsidR="00027403" w:rsidRPr="002A7033">
        <w:rPr>
          <w:rFonts w:asciiTheme="minorHAnsi" w:eastAsiaTheme="minorEastAsia" w:hAnsiTheme="minorHAnsi" w:cstheme="minorHAnsi"/>
          <w:sz w:val="20"/>
          <w:szCs w:val="20"/>
        </w:rPr>
        <w:t>If you intend to take these courses for college credit, please complete the following steps.</w:t>
      </w:r>
      <w:r w:rsidR="00FF553C">
        <w:rPr>
          <w:rFonts w:asciiTheme="minorHAnsi" w:eastAsiaTheme="minorEastAsia" w:hAnsiTheme="minorHAnsi" w:cstheme="minorHAnsi"/>
          <w:sz w:val="20"/>
          <w:szCs w:val="20"/>
        </w:rPr>
        <w:br/>
      </w:r>
    </w:p>
    <w:p w14:paraId="494B4E44" w14:textId="6CF03564" w:rsidR="00535CE1" w:rsidRDefault="009F244A" w:rsidP="00535CE1">
      <w:pPr>
        <w:rPr>
          <w:rFonts w:eastAsiaTheme="minorEastAsia"/>
          <w:b/>
          <w:color w:val="2E74B5" w:themeColor="accent1" w:themeShade="BF"/>
          <w:sz w:val="20"/>
          <w:szCs w:val="20"/>
        </w:rPr>
      </w:pPr>
      <w:r w:rsidRPr="005201B5">
        <w:rPr>
          <w:rFonts w:eastAsiaTheme="minorEastAsia"/>
          <w:b/>
          <w:color w:val="2E74B5" w:themeColor="accent1" w:themeShade="BF"/>
          <w:sz w:val="24"/>
          <w:szCs w:val="24"/>
        </w:rPr>
        <w:t>Step 1: Apply for Admission</w:t>
      </w:r>
      <w:r w:rsidRPr="00031EAE">
        <w:rPr>
          <w:rFonts w:eastAsiaTheme="minorEastAsia"/>
          <w:sz w:val="20"/>
          <w:szCs w:val="20"/>
        </w:rPr>
        <w:t xml:space="preserve"> (If you took dual credit classes with MCC </w:t>
      </w:r>
      <w:r w:rsidR="001120C1">
        <w:rPr>
          <w:rFonts w:eastAsiaTheme="minorEastAsia"/>
          <w:sz w:val="20"/>
          <w:szCs w:val="20"/>
        </w:rPr>
        <w:t>previously</w:t>
      </w:r>
      <w:r w:rsidRPr="00031EAE">
        <w:rPr>
          <w:rFonts w:eastAsiaTheme="minorEastAsia"/>
          <w:sz w:val="20"/>
          <w:szCs w:val="20"/>
        </w:rPr>
        <w:t xml:space="preserve"> you can skip this step.)</w:t>
      </w:r>
      <w:r w:rsidRPr="00031EAE">
        <w:rPr>
          <w:rFonts w:eastAsiaTheme="minorEastAsia"/>
          <w:b/>
          <w:color w:val="2E74B5" w:themeColor="accent1" w:themeShade="BF"/>
          <w:sz w:val="20"/>
          <w:szCs w:val="20"/>
        </w:rPr>
        <w:t xml:space="preserve"> </w:t>
      </w:r>
    </w:p>
    <w:p w14:paraId="711D2537" w14:textId="64E2339F" w:rsidR="00535CE1" w:rsidRDefault="009F244A" w:rsidP="00535CE1">
      <w:pPr>
        <w:pStyle w:val="ListParagraph"/>
        <w:numPr>
          <w:ilvl w:val="0"/>
          <w:numId w:val="4"/>
        </w:numPr>
        <w:ind w:left="720"/>
        <w:rPr>
          <w:rFonts w:eastAsiaTheme="minorEastAsia"/>
          <w:sz w:val="20"/>
          <w:szCs w:val="20"/>
        </w:rPr>
      </w:pPr>
      <w:r w:rsidRPr="00535CE1">
        <w:rPr>
          <w:rFonts w:eastAsiaTheme="minorEastAsia"/>
          <w:sz w:val="20"/>
          <w:szCs w:val="20"/>
        </w:rPr>
        <w:t xml:space="preserve">Apply online to MCC at </w:t>
      </w:r>
      <w:hyperlink r:id="rId10" w:history="1">
        <w:r w:rsidRPr="00535CE1">
          <w:rPr>
            <w:rStyle w:val="Hyperlink"/>
            <w:rFonts w:eastAsiaTheme="minorEastAsia"/>
            <w:sz w:val="20"/>
            <w:szCs w:val="20"/>
          </w:rPr>
          <w:t>www.mcckc.edu/apply</w:t>
        </w:r>
      </w:hyperlink>
    </w:p>
    <w:p w14:paraId="44B2B4DB" w14:textId="54E357F7" w:rsidR="009F244A" w:rsidRDefault="009F244A" w:rsidP="00535CE1">
      <w:pPr>
        <w:pStyle w:val="ListParagraph"/>
        <w:numPr>
          <w:ilvl w:val="0"/>
          <w:numId w:val="4"/>
        </w:numPr>
        <w:ind w:left="720"/>
        <w:rPr>
          <w:rFonts w:eastAsiaTheme="minorEastAsia"/>
          <w:sz w:val="20"/>
          <w:szCs w:val="20"/>
        </w:rPr>
      </w:pPr>
      <w:r w:rsidRPr="001120C1">
        <w:rPr>
          <w:rFonts w:eastAsiaTheme="minorEastAsia"/>
          <w:bCs/>
          <w:sz w:val="20"/>
          <w:szCs w:val="20"/>
        </w:rPr>
        <w:t>For assistance with this step view this video</w:t>
      </w:r>
      <w:r w:rsidRPr="00535CE1">
        <w:rPr>
          <w:rFonts w:eastAsiaTheme="minorEastAsia"/>
          <w:sz w:val="20"/>
          <w:szCs w:val="20"/>
        </w:rPr>
        <w:t xml:space="preserve"> - </w:t>
      </w:r>
      <w:hyperlink r:id="rId11" w:history="1">
        <w:r w:rsidRPr="00535CE1">
          <w:rPr>
            <w:rStyle w:val="Hyperlink"/>
            <w:rFonts w:eastAsiaTheme="minorEastAsia"/>
            <w:sz w:val="20"/>
            <w:szCs w:val="20"/>
          </w:rPr>
          <w:t>How to Apply to Metropolitan Community College (MCC)</w:t>
        </w:r>
      </w:hyperlink>
      <w:r w:rsidR="00042FCE">
        <w:rPr>
          <w:rFonts w:eastAsiaTheme="minorEastAsia"/>
          <w:sz w:val="20"/>
          <w:szCs w:val="20"/>
        </w:rPr>
        <w:t xml:space="preserve"> </w:t>
      </w:r>
    </w:p>
    <w:p w14:paraId="30B28C94" w14:textId="77777777" w:rsidR="001120C1" w:rsidRPr="00535CE1" w:rsidRDefault="001120C1" w:rsidP="001120C1">
      <w:pPr>
        <w:pStyle w:val="ListParagraph"/>
        <w:rPr>
          <w:rFonts w:eastAsiaTheme="minorEastAsia"/>
          <w:sz w:val="20"/>
          <w:szCs w:val="20"/>
        </w:rPr>
      </w:pPr>
    </w:p>
    <w:p w14:paraId="6A91FB1B" w14:textId="2C5591BA" w:rsidR="00042FCE" w:rsidRPr="00616DEB" w:rsidRDefault="005201B5" w:rsidP="000A6C1B">
      <w:pPr>
        <w:spacing w:after="0" w:line="240" w:lineRule="auto"/>
        <w:rPr>
          <w:rFonts w:eastAsiaTheme="minorEastAsia"/>
          <w:b/>
          <w:sz w:val="20"/>
          <w:szCs w:val="20"/>
        </w:rPr>
        <w:sectPr w:rsidR="00042FCE" w:rsidRPr="00616DEB" w:rsidSect="002A7033">
          <w:headerReference w:type="default" r:id="rId12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5201B5">
        <w:rPr>
          <w:rFonts w:eastAsiaTheme="minorEastAsia"/>
          <w:b/>
          <w:color w:val="2E74B5" w:themeColor="accent1" w:themeShade="BF"/>
          <w:sz w:val="24"/>
          <w:szCs w:val="24"/>
        </w:rPr>
        <w:t xml:space="preserve">Step </w:t>
      </w:r>
      <w:r w:rsidR="00892D80">
        <w:rPr>
          <w:rFonts w:eastAsiaTheme="minorEastAsia"/>
          <w:b/>
          <w:color w:val="2E74B5" w:themeColor="accent1" w:themeShade="BF"/>
          <w:sz w:val="24"/>
          <w:szCs w:val="24"/>
        </w:rPr>
        <w:t>2</w:t>
      </w:r>
      <w:r w:rsidRPr="005201B5">
        <w:rPr>
          <w:rFonts w:eastAsiaTheme="minorEastAsia"/>
          <w:b/>
          <w:color w:val="2E74B5" w:themeColor="accent1" w:themeShade="BF"/>
          <w:sz w:val="24"/>
          <w:szCs w:val="24"/>
        </w:rPr>
        <w:t xml:space="preserve">: Complete the Dual Credit Intent to Enroll </w:t>
      </w:r>
      <w:r w:rsidRPr="00535CE1">
        <w:rPr>
          <w:rFonts w:eastAsiaTheme="minorEastAsia"/>
          <w:b/>
          <w:color w:val="2E74B5" w:themeColor="accent1" w:themeShade="BF"/>
          <w:sz w:val="24"/>
          <w:szCs w:val="24"/>
        </w:rPr>
        <w:t>For</w:t>
      </w:r>
      <w:r w:rsidR="00CB7FB9">
        <w:rPr>
          <w:rFonts w:eastAsiaTheme="minorEastAsia"/>
          <w:b/>
          <w:color w:val="2E74B5" w:themeColor="accent1" w:themeShade="BF"/>
          <w:sz w:val="24"/>
          <w:szCs w:val="24"/>
        </w:rPr>
        <w:t>m</w:t>
      </w:r>
      <w:r w:rsidR="00E324E9">
        <w:rPr>
          <w:rFonts w:eastAsiaTheme="minorEastAsia"/>
          <w:b/>
          <w:color w:val="2E74B5" w:themeColor="accent1" w:themeShade="BF"/>
          <w:sz w:val="24"/>
          <w:szCs w:val="24"/>
        </w:rPr>
        <w:t xml:space="preserve"> </w:t>
      </w:r>
      <w:r w:rsidR="00E324E9" w:rsidRPr="000A6C1B">
        <w:rPr>
          <w:rFonts w:eastAsiaTheme="minorEastAsia"/>
          <w:bCs/>
          <w:sz w:val="20"/>
          <w:szCs w:val="20"/>
        </w:rPr>
        <w:t>(Last day to submit this form is Friday, January 21</w:t>
      </w:r>
      <w:r w:rsidR="00E324E9" w:rsidRPr="000A6C1B">
        <w:rPr>
          <w:rFonts w:eastAsiaTheme="minorEastAsia"/>
          <w:bCs/>
          <w:sz w:val="20"/>
          <w:szCs w:val="20"/>
          <w:vertAlign w:val="superscript"/>
        </w:rPr>
        <w:t>st</w:t>
      </w:r>
      <w:r w:rsidR="00E324E9" w:rsidRPr="000A6C1B">
        <w:rPr>
          <w:rFonts w:eastAsiaTheme="minorEastAsia"/>
          <w:bCs/>
          <w:sz w:val="20"/>
          <w:szCs w:val="20"/>
        </w:rPr>
        <w:t>.</w:t>
      </w:r>
      <w:r w:rsidR="000A6C1B">
        <w:rPr>
          <w:rFonts w:eastAsiaTheme="minorEastAsia"/>
          <w:bCs/>
          <w:sz w:val="20"/>
          <w:szCs w:val="20"/>
        </w:rPr>
        <w:t>)</w:t>
      </w:r>
    </w:p>
    <w:p w14:paraId="2EC30179" w14:textId="77777777" w:rsidR="00042FCE" w:rsidRPr="00CC119B" w:rsidRDefault="00042FCE" w:rsidP="000A6C1B">
      <w:pPr>
        <w:spacing w:after="0" w:line="240" w:lineRule="auto"/>
        <w:rPr>
          <w:rFonts w:eastAsiaTheme="minorEastAsia"/>
          <w:sz w:val="20"/>
          <w:szCs w:val="20"/>
        </w:rPr>
        <w:sectPr w:rsidR="00042FCE" w:rsidRPr="00CC119B" w:rsidSect="00042FCE">
          <w:type w:val="continuous"/>
          <w:pgSz w:w="12240" w:h="15840"/>
          <w:pgMar w:top="288" w:right="720" w:bottom="288" w:left="720" w:header="720" w:footer="720" w:gutter="0"/>
          <w:cols w:num="4" w:space="40"/>
          <w:docGrid w:linePitch="360"/>
        </w:sectPr>
      </w:pPr>
    </w:p>
    <w:p w14:paraId="32A88901" w14:textId="3744B98E" w:rsidR="001D50BD" w:rsidRPr="000A6C1B" w:rsidRDefault="005247A2" w:rsidP="000A6C1B">
      <w:pPr>
        <w:pStyle w:val="ListParagraph"/>
        <w:numPr>
          <w:ilvl w:val="0"/>
          <w:numId w:val="14"/>
        </w:numPr>
        <w:spacing w:after="0" w:line="240" w:lineRule="auto"/>
        <w:rPr>
          <w:rFonts w:eastAsiaTheme="minorEastAsia"/>
          <w:b/>
          <w:color w:val="9900CC"/>
          <w:sz w:val="20"/>
          <w:szCs w:val="20"/>
        </w:rPr>
      </w:pPr>
      <w:r w:rsidRPr="000A6C1B">
        <w:rPr>
          <w:rFonts w:eastAsiaTheme="minorEastAsia"/>
          <w:sz w:val="20"/>
          <w:szCs w:val="20"/>
        </w:rPr>
        <w:t xml:space="preserve">Access </w:t>
      </w:r>
      <w:r w:rsidR="00E324E9" w:rsidRPr="000A6C1B">
        <w:rPr>
          <w:rFonts w:eastAsiaTheme="minorEastAsia"/>
          <w:sz w:val="20"/>
          <w:szCs w:val="20"/>
        </w:rPr>
        <w:t xml:space="preserve">and complete </w:t>
      </w:r>
      <w:r w:rsidRPr="000A6C1B">
        <w:rPr>
          <w:rFonts w:eastAsiaTheme="minorEastAsia"/>
          <w:sz w:val="20"/>
          <w:szCs w:val="20"/>
        </w:rPr>
        <w:t>the Dual Credit Intent to Enroll Form</w:t>
      </w:r>
      <w:r w:rsidR="0001373A" w:rsidRPr="000A6C1B">
        <w:rPr>
          <w:rFonts w:eastAsiaTheme="minorEastAsia"/>
          <w:sz w:val="20"/>
          <w:szCs w:val="20"/>
        </w:rPr>
        <w:t xml:space="preserve"> </w:t>
      </w:r>
      <w:r w:rsidR="00E324E9" w:rsidRPr="000A6C1B">
        <w:rPr>
          <w:rFonts w:eastAsiaTheme="minorEastAsia"/>
          <w:sz w:val="20"/>
          <w:szCs w:val="20"/>
        </w:rPr>
        <w:t>at:</w:t>
      </w:r>
      <w:r>
        <w:t xml:space="preserve"> </w:t>
      </w:r>
      <w:hyperlink r:id="rId13" w:history="1">
        <w:r w:rsidRPr="0044395C">
          <w:rPr>
            <w:rStyle w:val="Hyperlink"/>
            <w:color w:val="FF0000"/>
          </w:rPr>
          <w:t>https://bit.ly/MW-Dual-Credit</w:t>
        </w:r>
      </w:hyperlink>
    </w:p>
    <w:p w14:paraId="628F4231" w14:textId="77777777" w:rsidR="000A6C1B" w:rsidRPr="000A6C1B" w:rsidRDefault="000A6C1B" w:rsidP="000A6C1B">
      <w:pPr>
        <w:pStyle w:val="ListParagraph"/>
        <w:spacing w:after="0" w:line="240" w:lineRule="auto"/>
        <w:rPr>
          <w:rFonts w:eastAsiaTheme="minorEastAsia"/>
          <w:b/>
          <w:color w:val="9900CC"/>
          <w:sz w:val="20"/>
          <w:szCs w:val="20"/>
        </w:rPr>
      </w:pPr>
    </w:p>
    <w:p w14:paraId="3450D315" w14:textId="2A69EBDE" w:rsidR="002A7033" w:rsidRDefault="002A7033" w:rsidP="002A7033">
      <w:pPr>
        <w:rPr>
          <w:rFonts w:eastAsiaTheme="minorEastAsia"/>
          <w:b/>
          <w:color w:val="2E74B5" w:themeColor="accent1" w:themeShade="BF"/>
          <w:sz w:val="24"/>
          <w:szCs w:val="24"/>
        </w:rPr>
      </w:pPr>
      <w:r>
        <w:rPr>
          <w:rFonts w:eastAsiaTheme="minorEastAsia"/>
          <w:b/>
          <w:color w:val="2E74B5" w:themeColor="accent1" w:themeShade="BF"/>
          <w:sz w:val="24"/>
          <w:szCs w:val="24"/>
        </w:rPr>
        <w:t xml:space="preserve">Step </w:t>
      </w:r>
      <w:r w:rsidR="009F22A1">
        <w:rPr>
          <w:rFonts w:eastAsiaTheme="minorEastAsia"/>
          <w:b/>
          <w:color w:val="2E74B5" w:themeColor="accent1" w:themeShade="BF"/>
          <w:sz w:val="24"/>
          <w:szCs w:val="24"/>
        </w:rPr>
        <w:t>3</w:t>
      </w:r>
      <w:r w:rsidRPr="002A7033">
        <w:rPr>
          <w:rFonts w:eastAsiaTheme="minorEastAsia"/>
          <w:b/>
          <w:color w:val="2E74B5" w:themeColor="accent1" w:themeShade="BF"/>
          <w:sz w:val="24"/>
          <w:szCs w:val="24"/>
        </w:rPr>
        <w:t xml:space="preserve">: </w:t>
      </w:r>
      <w:r w:rsidR="008B45CE">
        <w:rPr>
          <w:rFonts w:eastAsiaTheme="minorEastAsia"/>
          <w:b/>
          <w:color w:val="2E74B5" w:themeColor="accent1" w:themeShade="BF"/>
          <w:sz w:val="24"/>
          <w:szCs w:val="24"/>
        </w:rPr>
        <w:t>Review</w:t>
      </w:r>
      <w:r>
        <w:rPr>
          <w:rFonts w:eastAsiaTheme="minorEastAsia"/>
          <w:b/>
          <w:color w:val="2E74B5" w:themeColor="accent1" w:themeShade="BF"/>
          <w:sz w:val="24"/>
          <w:szCs w:val="24"/>
        </w:rPr>
        <w:t xml:space="preserve"> Placement</w:t>
      </w:r>
      <w:r w:rsidR="008A7AEB">
        <w:rPr>
          <w:rFonts w:eastAsiaTheme="minorEastAsia"/>
          <w:b/>
          <w:color w:val="2E74B5" w:themeColor="accent1" w:themeShade="BF"/>
          <w:sz w:val="24"/>
          <w:szCs w:val="24"/>
        </w:rPr>
        <w:t xml:space="preserve"> Test</w:t>
      </w:r>
      <w:r w:rsidR="00207324">
        <w:rPr>
          <w:rFonts w:eastAsiaTheme="minorEastAsia"/>
          <w:b/>
          <w:color w:val="2E74B5" w:themeColor="accent1" w:themeShade="BF"/>
          <w:sz w:val="24"/>
          <w:szCs w:val="24"/>
        </w:rPr>
        <w:t xml:space="preserve"> Requirements and Take the ACCUPLACER</w:t>
      </w:r>
      <w:r>
        <w:rPr>
          <w:rFonts w:eastAsiaTheme="minorEastAsia"/>
          <w:b/>
          <w:color w:val="2E74B5" w:themeColor="accent1" w:themeShade="BF"/>
          <w:sz w:val="24"/>
          <w:szCs w:val="24"/>
        </w:rPr>
        <w:t xml:space="preserve"> (if needed)</w:t>
      </w:r>
    </w:p>
    <w:p w14:paraId="7B514C33" w14:textId="66E145B1" w:rsidR="002A7033" w:rsidRPr="009F22A1" w:rsidRDefault="002A7033" w:rsidP="009F22A1">
      <w:pPr>
        <w:pStyle w:val="ListParagraph"/>
        <w:numPr>
          <w:ilvl w:val="0"/>
          <w:numId w:val="16"/>
        </w:numPr>
        <w:rPr>
          <w:rFonts w:eastAsiaTheme="minorEastAsia"/>
          <w:sz w:val="20"/>
          <w:szCs w:val="20"/>
        </w:rPr>
      </w:pPr>
      <w:r w:rsidRPr="009F22A1">
        <w:rPr>
          <w:rFonts w:eastAsiaTheme="minorEastAsia"/>
          <w:sz w:val="20"/>
          <w:szCs w:val="20"/>
        </w:rPr>
        <w:t>Review Dual Credit Placement Requirements (</w:t>
      </w:r>
      <w:r w:rsidR="002A412A" w:rsidRPr="009F22A1">
        <w:rPr>
          <w:rFonts w:eastAsiaTheme="minorEastAsia"/>
          <w:sz w:val="20"/>
          <w:szCs w:val="20"/>
        </w:rPr>
        <w:t>see pg. 2</w:t>
      </w:r>
      <w:r w:rsidRPr="009F22A1">
        <w:rPr>
          <w:rFonts w:eastAsiaTheme="minorEastAsia"/>
          <w:sz w:val="20"/>
          <w:szCs w:val="20"/>
        </w:rPr>
        <w:t>).</w:t>
      </w:r>
    </w:p>
    <w:p w14:paraId="07BB0E24" w14:textId="64344A0E" w:rsidR="002E7F86" w:rsidRPr="009F22A1" w:rsidRDefault="0034219E" w:rsidP="009F22A1">
      <w:pPr>
        <w:pStyle w:val="ListParagraph"/>
        <w:numPr>
          <w:ilvl w:val="0"/>
          <w:numId w:val="16"/>
        </w:numPr>
        <w:rPr>
          <w:rFonts w:eastAsiaTheme="minorEastAsia"/>
          <w:sz w:val="20"/>
          <w:szCs w:val="20"/>
        </w:rPr>
      </w:pPr>
      <w:r w:rsidRPr="009F22A1">
        <w:rPr>
          <w:rFonts w:eastAsiaTheme="minorEastAsia"/>
          <w:sz w:val="20"/>
          <w:szCs w:val="20"/>
        </w:rPr>
        <w:t>E</w:t>
      </w:r>
      <w:r w:rsidR="002A7033" w:rsidRPr="009F22A1">
        <w:rPr>
          <w:rFonts w:eastAsiaTheme="minorEastAsia"/>
          <w:sz w:val="20"/>
          <w:szCs w:val="20"/>
        </w:rPr>
        <w:t>mail</w:t>
      </w:r>
      <w:r w:rsidRPr="009F22A1">
        <w:rPr>
          <w:rFonts w:eastAsiaTheme="minorEastAsia"/>
          <w:sz w:val="20"/>
          <w:szCs w:val="20"/>
        </w:rPr>
        <w:t xml:space="preserve"> ACT Scores to MW Admissions at</w:t>
      </w:r>
      <w:r w:rsidR="002A7033" w:rsidRPr="009F22A1">
        <w:rPr>
          <w:rFonts w:eastAsiaTheme="minorEastAsia"/>
          <w:sz w:val="20"/>
          <w:szCs w:val="20"/>
        </w:rPr>
        <w:t xml:space="preserve"> </w:t>
      </w:r>
      <w:hyperlink r:id="rId14" w:history="1">
        <w:r w:rsidR="005C1AD8" w:rsidRPr="009F22A1">
          <w:rPr>
            <w:rStyle w:val="Hyperlink"/>
            <w:sz w:val="20"/>
          </w:rPr>
          <w:t>MW.Admissions@mcckc.edu</w:t>
        </w:r>
      </w:hyperlink>
      <w:r w:rsidR="005C1AD8" w:rsidRPr="009F22A1">
        <w:rPr>
          <w:sz w:val="20"/>
        </w:rPr>
        <w:t xml:space="preserve">. </w:t>
      </w:r>
      <w:r w:rsidR="003C650D" w:rsidRPr="009F22A1">
        <w:rPr>
          <w:sz w:val="20"/>
        </w:rPr>
        <w:t>(</w:t>
      </w:r>
      <w:r w:rsidR="0070092F" w:rsidRPr="009F22A1">
        <w:rPr>
          <w:sz w:val="20"/>
        </w:rPr>
        <w:t>ACT scores must be a picture of your official score report</w:t>
      </w:r>
      <w:r w:rsidR="008C350C" w:rsidRPr="009F22A1">
        <w:rPr>
          <w:sz w:val="20"/>
        </w:rPr>
        <w:t xml:space="preserve"> or a screenshot from the ACT website that shows </w:t>
      </w:r>
      <w:r w:rsidR="00B170DE" w:rsidRPr="009F22A1">
        <w:rPr>
          <w:sz w:val="20"/>
        </w:rPr>
        <w:t>your</w:t>
      </w:r>
      <w:r w:rsidR="001C0D70" w:rsidRPr="009F22A1">
        <w:rPr>
          <w:sz w:val="20"/>
        </w:rPr>
        <w:t xml:space="preserve"> test date, </w:t>
      </w:r>
      <w:r w:rsidR="00B170DE" w:rsidRPr="009F22A1">
        <w:rPr>
          <w:sz w:val="20"/>
        </w:rPr>
        <w:t>your</w:t>
      </w:r>
      <w:r w:rsidR="001C0D70" w:rsidRPr="009F22A1">
        <w:rPr>
          <w:sz w:val="20"/>
        </w:rPr>
        <w:t xml:space="preserve"> composite score and all subscores, and your first and last name.</w:t>
      </w:r>
      <w:r w:rsidR="00B170DE" w:rsidRPr="009F22A1">
        <w:rPr>
          <w:sz w:val="20"/>
        </w:rPr>
        <w:t>)</w:t>
      </w:r>
    </w:p>
    <w:p w14:paraId="7171A012" w14:textId="00755664" w:rsidR="002A7033" w:rsidRPr="00696EEA" w:rsidRDefault="002E7F86" w:rsidP="002E7F86">
      <w:pPr>
        <w:pStyle w:val="ListParagraph"/>
        <w:numPr>
          <w:ilvl w:val="1"/>
          <w:numId w:val="7"/>
        </w:numPr>
        <w:rPr>
          <w:rFonts w:eastAsiaTheme="minorEastAsia"/>
          <w:sz w:val="20"/>
          <w:szCs w:val="20"/>
        </w:rPr>
      </w:pPr>
      <w:r>
        <w:rPr>
          <w:sz w:val="20"/>
        </w:rPr>
        <w:t xml:space="preserve">The subject </w:t>
      </w:r>
      <w:r w:rsidR="00BA22B0">
        <w:rPr>
          <w:sz w:val="20"/>
        </w:rPr>
        <w:t>line</w:t>
      </w:r>
      <w:r w:rsidR="00B170DE">
        <w:rPr>
          <w:sz w:val="20"/>
        </w:rPr>
        <w:t xml:space="preserve"> of the email</w:t>
      </w:r>
      <w:r w:rsidR="00BA22B0">
        <w:rPr>
          <w:sz w:val="20"/>
        </w:rPr>
        <w:t xml:space="preserve"> should be: </w:t>
      </w:r>
      <w:r w:rsidR="00BA22B0" w:rsidRPr="00BA22B0">
        <w:rPr>
          <w:b/>
          <w:bCs/>
          <w:sz w:val="20"/>
        </w:rPr>
        <w:t>Dual Credit Placement Scores</w:t>
      </w:r>
      <w:r w:rsidR="00696EEA">
        <w:rPr>
          <w:sz w:val="20"/>
        </w:rPr>
        <w:t xml:space="preserve"> </w:t>
      </w:r>
    </w:p>
    <w:p w14:paraId="7EE30645" w14:textId="780D974A" w:rsidR="00696EEA" w:rsidRPr="00DF268F" w:rsidRDefault="00696EEA" w:rsidP="00696EEA">
      <w:pPr>
        <w:pStyle w:val="ListParagraph"/>
        <w:numPr>
          <w:ilvl w:val="1"/>
          <w:numId w:val="7"/>
        </w:numPr>
        <w:rPr>
          <w:rFonts w:eastAsiaTheme="minorEastAsia"/>
          <w:sz w:val="20"/>
          <w:szCs w:val="20"/>
        </w:rPr>
      </w:pPr>
      <w:r>
        <w:rPr>
          <w:sz w:val="20"/>
        </w:rPr>
        <w:t>The body should include:</w:t>
      </w:r>
    </w:p>
    <w:p w14:paraId="3C71F24F" w14:textId="4A9CC25C" w:rsidR="00DF268F" w:rsidRPr="00BA22B0" w:rsidRDefault="00DF268F" w:rsidP="00DF268F">
      <w:pPr>
        <w:pStyle w:val="ListParagraph"/>
        <w:ind w:left="2160"/>
        <w:rPr>
          <w:b/>
          <w:bCs/>
          <w:sz w:val="20"/>
        </w:rPr>
      </w:pPr>
      <w:r w:rsidRPr="00BA22B0">
        <w:rPr>
          <w:b/>
          <w:bCs/>
          <w:sz w:val="20"/>
        </w:rPr>
        <w:t>Full Name:</w:t>
      </w:r>
    </w:p>
    <w:p w14:paraId="7AD920A1" w14:textId="2A090150" w:rsidR="00DF268F" w:rsidRPr="00BA22B0" w:rsidRDefault="00DF268F" w:rsidP="00DF268F">
      <w:pPr>
        <w:pStyle w:val="ListParagraph"/>
        <w:ind w:left="2160"/>
        <w:rPr>
          <w:b/>
          <w:bCs/>
          <w:sz w:val="20"/>
        </w:rPr>
      </w:pPr>
      <w:r w:rsidRPr="00BA22B0">
        <w:rPr>
          <w:b/>
          <w:bCs/>
          <w:sz w:val="20"/>
        </w:rPr>
        <w:t>High School:</w:t>
      </w:r>
    </w:p>
    <w:p w14:paraId="36841C00" w14:textId="7D4DEE3F" w:rsidR="00DF268F" w:rsidRPr="00BA22B0" w:rsidRDefault="00DF268F" w:rsidP="00DF268F">
      <w:pPr>
        <w:pStyle w:val="ListParagraph"/>
        <w:ind w:left="2160"/>
        <w:rPr>
          <w:rFonts w:eastAsiaTheme="minorEastAsia"/>
          <w:b/>
          <w:bCs/>
          <w:sz w:val="20"/>
          <w:szCs w:val="20"/>
        </w:rPr>
      </w:pPr>
      <w:r w:rsidRPr="00BA22B0">
        <w:rPr>
          <w:b/>
          <w:bCs/>
          <w:sz w:val="20"/>
        </w:rPr>
        <w:t>MCC ID Number:</w:t>
      </w:r>
    </w:p>
    <w:p w14:paraId="27FADD15" w14:textId="3C8962E8" w:rsidR="002A7033" w:rsidRPr="009F22A1" w:rsidRDefault="00750D7F" w:rsidP="009F22A1">
      <w:pPr>
        <w:pStyle w:val="ListParagraph"/>
        <w:numPr>
          <w:ilvl w:val="0"/>
          <w:numId w:val="18"/>
        </w:numPr>
        <w:rPr>
          <w:rFonts w:eastAsiaTheme="minorEastAsia"/>
          <w:sz w:val="20"/>
          <w:szCs w:val="20"/>
        </w:rPr>
      </w:pPr>
      <w:r w:rsidRPr="009F22A1">
        <w:rPr>
          <w:rFonts w:eastAsiaTheme="minorEastAsia"/>
          <w:sz w:val="20"/>
          <w:szCs w:val="20"/>
        </w:rPr>
        <w:t xml:space="preserve">If you have not taken </w:t>
      </w:r>
      <w:r w:rsidR="003C650D" w:rsidRPr="009F22A1">
        <w:rPr>
          <w:rFonts w:eastAsiaTheme="minorEastAsia"/>
          <w:sz w:val="20"/>
          <w:szCs w:val="20"/>
        </w:rPr>
        <w:t xml:space="preserve">the </w:t>
      </w:r>
      <w:r w:rsidRPr="009F22A1">
        <w:rPr>
          <w:rFonts w:eastAsiaTheme="minorEastAsia"/>
          <w:sz w:val="20"/>
          <w:szCs w:val="20"/>
        </w:rPr>
        <w:t>ACT or do not have qualifying ACT scores, t</w:t>
      </w:r>
      <w:r w:rsidR="002A7033" w:rsidRPr="009F22A1">
        <w:rPr>
          <w:rFonts w:eastAsiaTheme="minorEastAsia"/>
          <w:sz w:val="20"/>
          <w:szCs w:val="20"/>
        </w:rPr>
        <w:t>ake the A</w:t>
      </w:r>
      <w:r w:rsidR="00E8261E" w:rsidRPr="009F22A1">
        <w:rPr>
          <w:rFonts w:eastAsiaTheme="minorEastAsia"/>
          <w:sz w:val="20"/>
          <w:szCs w:val="20"/>
        </w:rPr>
        <w:t>CCUPLACER (se</w:t>
      </w:r>
      <w:r w:rsidR="00FC7BD4" w:rsidRPr="009F22A1">
        <w:rPr>
          <w:rFonts w:eastAsiaTheme="minorEastAsia"/>
          <w:sz w:val="20"/>
          <w:szCs w:val="20"/>
        </w:rPr>
        <w:t>e</w:t>
      </w:r>
      <w:r w:rsidR="00E8261E" w:rsidRPr="009F22A1">
        <w:rPr>
          <w:rFonts w:eastAsiaTheme="minorEastAsia"/>
          <w:sz w:val="20"/>
          <w:szCs w:val="20"/>
        </w:rPr>
        <w:t xml:space="preserve"> pg. 2 for information).</w:t>
      </w:r>
      <w:r w:rsidR="001647AF" w:rsidRPr="009F22A1">
        <w:rPr>
          <w:rFonts w:eastAsiaTheme="minorEastAsia"/>
          <w:sz w:val="20"/>
          <w:szCs w:val="20"/>
        </w:rPr>
        <w:t xml:space="preserve"> The last day to take the ACCUPLACER is January 21</w:t>
      </w:r>
      <w:r w:rsidR="00430D0D" w:rsidRPr="009F22A1">
        <w:rPr>
          <w:rFonts w:eastAsiaTheme="minorEastAsia"/>
          <w:sz w:val="20"/>
          <w:szCs w:val="20"/>
          <w:vertAlign w:val="superscript"/>
        </w:rPr>
        <w:t>st</w:t>
      </w:r>
      <w:r w:rsidR="00430D0D" w:rsidRPr="009F22A1">
        <w:rPr>
          <w:rFonts w:eastAsiaTheme="minorEastAsia"/>
          <w:sz w:val="20"/>
          <w:szCs w:val="20"/>
        </w:rPr>
        <w:t>.</w:t>
      </w:r>
    </w:p>
    <w:p w14:paraId="35ECD3DB" w14:textId="77777777" w:rsidR="00B170DE" w:rsidRDefault="00B170DE" w:rsidP="00B170DE">
      <w:pPr>
        <w:pStyle w:val="ListParagraph"/>
        <w:rPr>
          <w:rFonts w:eastAsiaTheme="minorEastAsia"/>
          <w:sz w:val="20"/>
          <w:szCs w:val="20"/>
        </w:rPr>
      </w:pPr>
    </w:p>
    <w:p w14:paraId="5DE9BB41" w14:textId="27FFD5F4" w:rsidR="002A7033" w:rsidRDefault="002A7033" w:rsidP="002A7033">
      <w:pPr>
        <w:rPr>
          <w:rFonts w:eastAsiaTheme="minorEastAsia"/>
          <w:b/>
          <w:color w:val="2E74B5" w:themeColor="accent1" w:themeShade="BF"/>
          <w:sz w:val="24"/>
          <w:szCs w:val="24"/>
        </w:rPr>
      </w:pPr>
      <w:r w:rsidRPr="002A7033">
        <w:rPr>
          <w:rFonts w:eastAsiaTheme="minorEastAsia"/>
          <w:b/>
          <w:color w:val="2E74B5" w:themeColor="accent1" w:themeShade="BF"/>
          <w:sz w:val="24"/>
          <w:szCs w:val="24"/>
        </w:rPr>
        <w:t xml:space="preserve">Step </w:t>
      </w:r>
      <w:r w:rsidR="009F22A1">
        <w:rPr>
          <w:rFonts w:eastAsiaTheme="minorEastAsia"/>
          <w:b/>
          <w:color w:val="2E74B5" w:themeColor="accent1" w:themeShade="BF"/>
          <w:sz w:val="24"/>
          <w:szCs w:val="24"/>
        </w:rPr>
        <w:t>4</w:t>
      </w:r>
      <w:r w:rsidRPr="002A7033">
        <w:rPr>
          <w:rFonts w:eastAsiaTheme="minorEastAsia"/>
          <w:b/>
          <w:color w:val="2E74B5" w:themeColor="accent1" w:themeShade="BF"/>
          <w:sz w:val="24"/>
          <w:szCs w:val="24"/>
        </w:rPr>
        <w:t xml:space="preserve">: </w:t>
      </w:r>
      <w:r>
        <w:rPr>
          <w:rFonts w:eastAsiaTheme="minorEastAsia"/>
          <w:b/>
          <w:color w:val="2E74B5" w:themeColor="accent1" w:themeShade="BF"/>
          <w:sz w:val="24"/>
          <w:szCs w:val="24"/>
        </w:rPr>
        <w:t>Verify Enrollment &amp; Pay</w:t>
      </w:r>
    </w:p>
    <w:p w14:paraId="2F33C1D2" w14:textId="15D7077E" w:rsidR="002A7033" w:rsidRDefault="00394C28" w:rsidP="002A7033">
      <w:pPr>
        <w:pStyle w:val="ListParagraph"/>
        <w:numPr>
          <w:ilvl w:val="0"/>
          <w:numId w:val="8"/>
        </w:numPr>
        <w:ind w:left="7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February 4</w:t>
      </w:r>
      <w:r w:rsidRPr="00394C28">
        <w:rPr>
          <w:rFonts w:eastAsiaTheme="minorEastAsia"/>
          <w:sz w:val="20"/>
          <w:szCs w:val="20"/>
          <w:vertAlign w:val="superscript"/>
        </w:rPr>
        <w:t>th</w:t>
      </w:r>
      <w:r>
        <w:rPr>
          <w:rFonts w:eastAsiaTheme="minorEastAsia"/>
          <w:sz w:val="20"/>
          <w:szCs w:val="20"/>
        </w:rPr>
        <w:t xml:space="preserve">: Check your Student Center at </w:t>
      </w:r>
      <w:hyperlink r:id="rId15" w:history="1">
        <w:r w:rsidR="00A94109" w:rsidRPr="004D58D4">
          <w:rPr>
            <w:rStyle w:val="Hyperlink"/>
            <w:rFonts w:eastAsiaTheme="minorEastAsia"/>
            <w:sz w:val="20"/>
            <w:szCs w:val="20"/>
          </w:rPr>
          <w:t>https://My.MCCKC.edu</w:t>
        </w:r>
      </w:hyperlink>
      <w:r w:rsidR="00A94109">
        <w:rPr>
          <w:rFonts w:eastAsiaTheme="minorEastAsia"/>
          <w:sz w:val="20"/>
          <w:szCs w:val="20"/>
        </w:rPr>
        <w:t xml:space="preserve"> to verify enrollment. If your enrollment is not correct, contact Dr. Miller immediately</w:t>
      </w:r>
      <w:r w:rsidR="009F2F07">
        <w:rPr>
          <w:rFonts w:eastAsiaTheme="minorEastAsia"/>
          <w:sz w:val="20"/>
          <w:szCs w:val="20"/>
        </w:rPr>
        <w:t>.</w:t>
      </w:r>
    </w:p>
    <w:p w14:paraId="5C604513" w14:textId="093496EC" w:rsidR="007242EB" w:rsidRPr="00E57915" w:rsidRDefault="00A94109" w:rsidP="004D0D41">
      <w:pPr>
        <w:pStyle w:val="ListParagraph"/>
        <w:numPr>
          <w:ilvl w:val="0"/>
          <w:numId w:val="8"/>
        </w:numPr>
        <w:ind w:left="720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March 9</w:t>
      </w:r>
      <w:r w:rsidRPr="00A94109">
        <w:rPr>
          <w:rFonts w:eastAsiaTheme="minorEastAsia"/>
          <w:sz w:val="20"/>
          <w:szCs w:val="20"/>
          <w:vertAlign w:val="superscript"/>
        </w:rPr>
        <w:t>th</w:t>
      </w:r>
      <w:r>
        <w:rPr>
          <w:rFonts w:eastAsiaTheme="minorEastAsia"/>
          <w:sz w:val="20"/>
          <w:szCs w:val="20"/>
        </w:rPr>
        <w:t xml:space="preserve">: </w:t>
      </w:r>
      <w:r w:rsidR="00F41812">
        <w:rPr>
          <w:rFonts w:eastAsiaTheme="minorEastAsia"/>
          <w:sz w:val="20"/>
          <w:szCs w:val="20"/>
        </w:rPr>
        <w:t>Deadline to p</w:t>
      </w:r>
      <w:r w:rsidR="002A7033">
        <w:rPr>
          <w:rFonts w:eastAsiaTheme="minorEastAsia"/>
          <w:sz w:val="20"/>
          <w:szCs w:val="20"/>
        </w:rPr>
        <w:t>ay in full or set up a payment plan</w:t>
      </w:r>
      <w:r w:rsidR="00F41812">
        <w:rPr>
          <w:rFonts w:eastAsiaTheme="minorEastAsia"/>
          <w:sz w:val="20"/>
          <w:szCs w:val="20"/>
        </w:rPr>
        <w:t xml:space="preserve">.  The bill can be paid online through your myMCCKC account. </w:t>
      </w:r>
      <w:r w:rsidR="009F2F07">
        <w:rPr>
          <w:rFonts w:eastAsiaTheme="minorEastAsia"/>
          <w:sz w:val="20"/>
          <w:szCs w:val="20"/>
        </w:rPr>
        <w:t>Failure to pay in full OR arrange a payment plan will result in your college credit enrollment being dropped.</w:t>
      </w:r>
      <w:r w:rsidR="00FF553C">
        <w:rPr>
          <w:rFonts w:eastAsiaTheme="minorEastAsia"/>
          <w:sz w:val="20"/>
          <w:szCs w:val="20"/>
        </w:rPr>
        <w:br/>
      </w:r>
    </w:p>
    <w:p w14:paraId="1D07B81A" w14:textId="4219AD3C" w:rsidR="004D0D41" w:rsidRPr="007242EB" w:rsidRDefault="00E57915" w:rsidP="004D0D41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br/>
      </w:r>
      <w:r w:rsidR="004D0D41" w:rsidRPr="00E57915">
        <w:rPr>
          <w:rFonts w:eastAsiaTheme="minorEastAsia"/>
          <w:b/>
          <w:noProof/>
          <w:sz w:val="20"/>
          <w:szCs w:val="20"/>
        </w:rPr>
        <w:t>High School D</w:t>
      </w:r>
      <w:r w:rsidR="007242EB" w:rsidRPr="00E57915">
        <w:rPr>
          <w:rFonts w:eastAsiaTheme="minorEastAsia"/>
          <w:b/>
          <w:noProof/>
          <w:sz w:val="20"/>
          <w:szCs w:val="20"/>
        </w:rPr>
        <w:t xml:space="preserve">ual </w:t>
      </w:r>
      <w:r w:rsidR="004D0D41" w:rsidRPr="00E57915">
        <w:rPr>
          <w:rFonts w:eastAsiaTheme="minorEastAsia"/>
          <w:b/>
          <w:noProof/>
          <w:sz w:val="20"/>
          <w:szCs w:val="20"/>
        </w:rPr>
        <w:t>C</w:t>
      </w:r>
      <w:r w:rsidR="007242EB" w:rsidRPr="00E57915">
        <w:rPr>
          <w:rFonts w:eastAsiaTheme="minorEastAsia"/>
          <w:b/>
          <w:noProof/>
          <w:sz w:val="20"/>
          <w:szCs w:val="20"/>
        </w:rPr>
        <w:t>redit</w:t>
      </w:r>
      <w:r w:rsidR="004D0D41" w:rsidRPr="00E57915">
        <w:rPr>
          <w:rFonts w:eastAsiaTheme="minorEastAsia"/>
          <w:b/>
          <w:noProof/>
          <w:sz w:val="20"/>
          <w:szCs w:val="20"/>
        </w:rPr>
        <w:t xml:space="preserve"> Contact:</w:t>
      </w:r>
      <w:r w:rsidR="007242EB">
        <w:rPr>
          <w:rFonts w:eastAsiaTheme="minorEastAsia"/>
          <w:noProof/>
          <w:sz w:val="20"/>
          <w:szCs w:val="20"/>
        </w:rPr>
        <w:tab/>
      </w:r>
      <w:r w:rsidR="00756FE6">
        <w:rPr>
          <w:rFonts w:eastAsiaTheme="minorEastAsia"/>
          <w:noProof/>
          <w:sz w:val="20"/>
          <w:szCs w:val="20"/>
        </w:rPr>
        <w:t>Dr. Deborah Miller</w:t>
      </w:r>
      <w:r w:rsidR="004D0D41" w:rsidRPr="007242EB">
        <w:rPr>
          <w:rFonts w:eastAsiaTheme="minorEastAsia"/>
          <w:noProof/>
          <w:sz w:val="20"/>
          <w:szCs w:val="20"/>
        </w:rPr>
        <w:t xml:space="preserve"> |</w:t>
      </w:r>
      <w:r w:rsidR="007242EB">
        <w:rPr>
          <w:rFonts w:eastAsiaTheme="minorEastAsia"/>
          <w:noProof/>
          <w:sz w:val="20"/>
          <w:szCs w:val="20"/>
        </w:rPr>
        <w:t xml:space="preserve"> </w:t>
      </w:r>
      <w:hyperlink r:id="rId16" w:history="1">
        <w:r w:rsidR="00756FE6" w:rsidRPr="006A700C">
          <w:rPr>
            <w:rStyle w:val="Hyperlink"/>
            <w:rFonts w:eastAsiaTheme="minorEastAsia"/>
            <w:noProof/>
            <w:sz w:val="20"/>
            <w:szCs w:val="20"/>
          </w:rPr>
          <w:t>MillerD@parkhill.k12.mo.us</w:t>
        </w:r>
      </w:hyperlink>
      <w:r w:rsidR="007242EB">
        <w:rPr>
          <w:rFonts w:eastAsiaTheme="minorEastAsia"/>
          <w:noProof/>
          <w:sz w:val="20"/>
          <w:szCs w:val="20"/>
        </w:rPr>
        <w:t xml:space="preserve"> </w:t>
      </w:r>
      <w:r w:rsidR="00C548B2">
        <w:rPr>
          <w:rFonts w:eastAsiaTheme="minorEastAsia"/>
          <w:noProof/>
          <w:sz w:val="20"/>
          <w:szCs w:val="20"/>
        </w:rPr>
        <w:t>| 816.359.</w:t>
      </w:r>
      <w:r w:rsidR="00756FE6">
        <w:rPr>
          <w:rFonts w:eastAsiaTheme="minorEastAsia"/>
          <w:noProof/>
          <w:sz w:val="20"/>
          <w:szCs w:val="20"/>
        </w:rPr>
        <w:t>5894</w:t>
      </w:r>
    </w:p>
    <w:p w14:paraId="304F55A3" w14:textId="256582EE" w:rsidR="004D0D41" w:rsidRDefault="004D0D41" w:rsidP="004D0D41">
      <w:pPr>
        <w:rPr>
          <w:rFonts w:eastAsiaTheme="minorEastAsia"/>
          <w:noProof/>
          <w:sz w:val="20"/>
          <w:szCs w:val="20"/>
        </w:rPr>
      </w:pPr>
      <w:r w:rsidRPr="00E57915">
        <w:rPr>
          <w:rFonts w:eastAsiaTheme="minorEastAsia"/>
          <w:b/>
          <w:noProof/>
          <w:sz w:val="20"/>
          <w:szCs w:val="20"/>
        </w:rPr>
        <w:t>MCC Dual Credit Contacts:</w:t>
      </w:r>
      <w:r w:rsidRPr="00E57915">
        <w:rPr>
          <w:b/>
        </w:rPr>
        <w:tab/>
      </w:r>
      <w:r w:rsidRPr="065A123B">
        <w:rPr>
          <w:rFonts w:eastAsiaTheme="minorEastAsia"/>
          <w:noProof/>
          <w:sz w:val="20"/>
          <w:szCs w:val="20"/>
        </w:rPr>
        <w:t xml:space="preserve">Keri Cerda Reynolds | </w:t>
      </w:r>
      <w:hyperlink r:id="rId17">
        <w:r w:rsidRPr="065A123B">
          <w:rPr>
            <w:rStyle w:val="Hyperlink"/>
            <w:rFonts w:eastAsiaTheme="minorEastAsia"/>
            <w:noProof/>
            <w:sz w:val="20"/>
            <w:szCs w:val="20"/>
          </w:rPr>
          <w:t>Keri.CerdaReynolds@mcckc.edu</w:t>
        </w:r>
      </w:hyperlink>
      <w:r w:rsidRPr="065A123B">
        <w:rPr>
          <w:rFonts w:eastAsiaTheme="minorEastAsia"/>
          <w:noProof/>
          <w:sz w:val="20"/>
          <w:szCs w:val="20"/>
        </w:rPr>
        <w:t xml:space="preserve"> | 816.604.3201</w:t>
      </w:r>
      <w:r>
        <w:br/>
      </w:r>
      <w:r>
        <w:tab/>
      </w:r>
      <w:r>
        <w:tab/>
      </w:r>
      <w:r w:rsidR="007242EB">
        <w:tab/>
      </w:r>
      <w:r w:rsidR="007242EB">
        <w:tab/>
      </w:r>
      <w:r w:rsidRPr="065A123B">
        <w:rPr>
          <w:rFonts w:eastAsiaTheme="minorEastAsia"/>
          <w:noProof/>
          <w:sz w:val="20"/>
          <w:szCs w:val="20"/>
        </w:rPr>
        <w:t xml:space="preserve">Lori Callow | </w:t>
      </w:r>
      <w:hyperlink r:id="rId18">
        <w:r w:rsidRPr="065A123B">
          <w:rPr>
            <w:rStyle w:val="Hyperlink"/>
            <w:rFonts w:eastAsiaTheme="minorEastAsia"/>
            <w:noProof/>
            <w:sz w:val="20"/>
            <w:szCs w:val="20"/>
          </w:rPr>
          <w:t>Lori.Callow@mcckc.edu</w:t>
        </w:r>
      </w:hyperlink>
      <w:r w:rsidRPr="065A123B">
        <w:rPr>
          <w:rFonts w:eastAsiaTheme="minorEastAsia"/>
          <w:noProof/>
          <w:sz w:val="20"/>
          <w:szCs w:val="20"/>
        </w:rPr>
        <w:t xml:space="preserve"> | 816.604.3005</w:t>
      </w:r>
    </w:p>
    <w:p w14:paraId="13A295EC" w14:textId="07447C65" w:rsidR="002A412A" w:rsidRPr="002A412A" w:rsidRDefault="002A412A" w:rsidP="002A412A">
      <w:pPr>
        <w:rPr>
          <w:rFonts w:eastAsiaTheme="minorEastAsia"/>
          <w:noProof/>
          <w:sz w:val="20"/>
          <w:szCs w:val="20"/>
        </w:rPr>
      </w:pPr>
      <w:r>
        <w:rPr>
          <w:rFonts w:eastAsiaTheme="minorEastAsia"/>
          <w:noProof/>
          <w:sz w:val="20"/>
          <w:szCs w:val="20"/>
        </w:rPr>
        <w:br w:type="page"/>
      </w:r>
    </w:p>
    <w:p w14:paraId="5F5E429F" w14:textId="5B20F5A9" w:rsidR="002A412A" w:rsidRPr="00DB6D44" w:rsidRDefault="002A412A" w:rsidP="000738C3">
      <w:pPr>
        <w:pStyle w:val="Title"/>
        <w:ind w:firstLine="7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lastRenderedPageBreak/>
        <w:t>Dual Credit Placement Requirements</w:t>
      </w:r>
    </w:p>
    <w:p w14:paraId="3E2EADF8" w14:textId="77777777" w:rsidR="002A412A" w:rsidRPr="00637854" w:rsidRDefault="002A412A" w:rsidP="002A412A">
      <w:pPr>
        <w:pStyle w:val="Title"/>
        <w:jc w:val="left"/>
        <w:rPr>
          <w:rFonts w:cs="Arial"/>
          <w:b/>
          <w:i/>
          <w:sz w:val="10"/>
          <w:szCs w:val="18"/>
        </w:rPr>
      </w:pPr>
    </w:p>
    <w:p w14:paraId="1FD4E5A0" w14:textId="77777777" w:rsidR="002A412A" w:rsidRPr="007904E3" w:rsidRDefault="002A412A" w:rsidP="002A412A">
      <w:pPr>
        <w:spacing w:after="0"/>
        <w:rPr>
          <w:szCs w:val="24"/>
        </w:rPr>
      </w:pPr>
      <w:r w:rsidRPr="007904E3">
        <w:rPr>
          <w:szCs w:val="24"/>
        </w:rPr>
        <w:t>In order to enroll in dual credit classes, you must meet placement qualifications. You can do this with qualifying ACT or Accuplacer scores.</w:t>
      </w:r>
      <w:r>
        <w:rPr>
          <w:szCs w:val="24"/>
        </w:rPr>
        <w:t xml:space="preserve"> If you have qualifying ACT scores, you do not need to take the Accuplacer. </w:t>
      </w:r>
    </w:p>
    <w:tbl>
      <w:tblPr>
        <w:tblStyle w:val="TableGrid"/>
        <w:tblW w:w="11137" w:type="dxa"/>
        <w:tblInd w:w="-5" w:type="dxa"/>
        <w:tblLook w:val="04A0" w:firstRow="1" w:lastRow="0" w:firstColumn="1" w:lastColumn="0" w:noHBand="0" w:noVBand="1"/>
      </w:tblPr>
      <w:tblGrid>
        <w:gridCol w:w="2659"/>
        <w:gridCol w:w="1515"/>
        <w:gridCol w:w="1501"/>
        <w:gridCol w:w="3541"/>
        <w:gridCol w:w="954"/>
        <w:gridCol w:w="270"/>
        <w:gridCol w:w="697"/>
      </w:tblGrid>
      <w:tr w:rsidR="002A412A" w14:paraId="40426D9F" w14:textId="77777777" w:rsidTr="00691887">
        <w:trPr>
          <w:trHeight w:val="350"/>
        </w:trPr>
        <w:tc>
          <w:tcPr>
            <w:tcW w:w="2659" w:type="dxa"/>
            <w:vAlign w:val="center"/>
          </w:tcPr>
          <w:p w14:paraId="4579FF7F" w14:textId="77777777" w:rsidR="002A412A" w:rsidRPr="00FF054A" w:rsidRDefault="002A412A" w:rsidP="00691887">
            <w:pPr>
              <w:jc w:val="center"/>
              <w:rPr>
                <w:b/>
                <w:sz w:val="28"/>
                <w:szCs w:val="24"/>
              </w:rPr>
            </w:pPr>
            <w:r w:rsidRPr="00FF054A">
              <w:rPr>
                <w:b/>
                <w:sz w:val="28"/>
                <w:szCs w:val="24"/>
              </w:rPr>
              <w:t>Classes</w:t>
            </w:r>
          </w:p>
        </w:tc>
        <w:tc>
          <w:tcPr>
            <w:tcW w:w="3016" w:type="dxa"/>
            <w:gridSpan w:val="2"/>
            <w:vAlign w:val="center"/>
          </w:tcPr>
          <w:p w14:paraId="744B72D7" w14:textId="77777777" w:rsidR="002A412A" w:rsidRPr="00FF054A" w:rsidRDefault="002A412A" w:rsidP="00691887">
            <w:pPr>
              <w:jc w:val="center"/>
              <w:rPr>
                <w:b/>
                <w:sz w:val="28"/>
                <w:szCs w:val="24"/>
              </w:rPr>
            </w:pPr>
            <w:r w:rsidRPr="00FF054A">
              <w:rPr>
                <w:b/>
                <w:sz w:val="28"/>
                <w:szCs w:val="24"/>
              </w:rPr>
              <w:t>ACT</w:t>
            </w:r>
          </w:p>
        </w:tc>
        <w:tc>
          <w:tcPr>
            <w:tcW w:w="5462" w:type="dxa"/>
            <w:gridSpan w:val="4"/>
            <w:vAlign w:val="center"/>
          </w:tcPr>
          <w:p w14:paraId="0D819BCB" w14:textId="77777777" w:rsidR="002A412A" w:rsidRPr="00FF054A" w:rsidRDefault="002A412A" w:rsidP="00691887">
            <w:pPr>
              <w:jc w:val="center"/>
              <w:rPr>
                <w:b/>
                <w:sz w:val="28"/>
                <w:szCs w:val="24"/>
              </w:rPr>
            </w:pPr>
            <w:r w:rsidRPr="00FF054A">
              <w:rPr>
                <w:b/>
                <w:sz w:val="28"/>
                <w:szCs w:val="24"/>
              </w:rPr>
              <w:t>ACCUPLACER</w:t>
            </w:r>
          </w:p>
        </w:tc>
      </w:tr>
      <w:tr w:rsidR="002A412A" w14:paraId="79549AB4" w14:textId="77777777" w:rsidTr="00691887">
        <w:trPr>
          <w:trHeight w:val="283"/>
        </w:trPr>
        <w:tc>
          <w:tcPr>
            <w:tcW w:w="2659" w:type="dxa"/>
            <w:vMerge w:val="restart"/>
            <w:vAlign w:val="center"/>
          </w:tcPr>
          <w:p w14:paraId="4F74536A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Composition &amp; Reading</w:t>
            </w:r>
            <w:r>
              <w:rPr>
                <w:szCs w:val="24"/>
              </w:rPr>
              <w:t>^</w:t>
            </w:r>
          </w:p>
          <w:p w14:paraId="3CB0DD81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Speech</w:t>
            </w:r>
          </w:p>
        </w:tc>
        <w:tc>
          <w:tcPr>
            <w:tcW w:w="1515" w:type="dxa"/>
            <w:vAlign w:val="center"/>
          </w:tcPr>
          <w:p w14:paraId="682E6917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English</w:t>
            </w:r>
          </w:p>
        </w:tc>
        <w:tc>
          <w:tcPr>
            <w:tcW w:w="1501" w:type="dxa"/>
            <w:vAlign w:val="center"/>
          </w:tcPr>
          <w:p w14:paraId="57827F48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18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4459C486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Writing*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D51A94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242</w:t>
            </w:r>
            <w:r>
              <w:rPr>
                <w:szCs w:val="24"/>
              </w:rPr>
              <w:t>-245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46967B3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BFFE3" w14:textId="77777777" w:rsidR="002A412A" w:rsidRPr="00AA7620" w:rsidRDefault="002A412A" w:rsidP="00691887">
            <w:pPr>
              <w:jc w:val="center"/>
              <w:rPr>
                <w:szCs w:val="24"/>
              </w:rPr>
            </w:pPr>
            <w:r w:rsidRPr="00AA7620">
              <w:rPr>
                <w:szCs w:val="24"/>
              </w:rPr>
              <w:t>246</w:t>
            </w:r>
          </w:p>
        </w:tc>
      </w:tr>
      <w:tr w:rsidR="002A412A" w14:paraId="22052259" w14:textId="77777777" w:rsidTr="00691887">
        <w:trPr>
          <w:trHeight w:val="260"/>
        </w:trPr>
        <w:tc>
          <w:tcPr>
            <w:tcW w:w="2659" w:type="dxa"/>
            <w:vMerge/>
            <w:vAlign w:val="center"/>
          </w:tcPr>
          <w:p w14:paraId="3DBFD32B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vAlign w:val="center"/>
          </w:tcPr>
          <w:p w14:paraId="0314E221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Reading</w:t>
            </w:r>
          </w:p>
        </w:tc>
        <w:tc>
          <w:tcPr>
            <w:tcW w:w="1501" w:type="dxa"/>
            <w:vAlign w:val="center"/>
          </w:tcPr>
          <w:p w14:paraId="5333C6BB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18</w:t>
            </w:r>
          </w:p>
        </w:tc>
        <w:tc>
          <w:tcPr>
            <w:tcW w:w="3541" w:type="dxa"/>
            <w:tcBorders>
              <w:right w:val="single" w:sz="4" w:space="0" w:color="auto"/>
            </w:tcBorders>
            <w:vAlign w:val="center"/>
          </w:tcPr>
          <w:p w14:paraId="045BDD5D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Reading*</w:t>
            </w:r>
          </w:p>
        </w:tc>
        <w:tc>
          <w:tcPr>
            <w:tcW w:w="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F2B4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256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vAlign w:val="center"/>
          </w:tcPr>
          <w:p w14:paraId="0A36CCE5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5F1713" w14:textId="77777777" w:rsidR="002A412A" w:rsidRPr="00AA7620" w:rsidRDefault="002A412A" w:rsidP="00691887">
            <w:pPr>
              <w:jc w:val="center"/>
              <w:rPr>
                <w:szCs w:val="24"/>
              </w:rPr>
            </w:pPr>
            <w:r w:rsidRPr="00AA7620">
              <w:rPr>
                <w:szCs w:val="24"/>
              </w:rPr>
              <w:t>248</w:t>
            </w:r>
          </w:p>
        </w:tc>
      </w:tr>
      <w:tr w:rsidR="002A412A" w14:paraId="6D48B029" w14:textId="77777777" w:rsidTr="00691887">
        <w:trPr>
          <w:trHeight w:val="382"/>
        </w:trPr>
        <w:tc>
          <w:tcPr>
            <w:tcW w:w="2659" w:type="dxa"/>
            <w:vMerge w:val="restart"/>
            <w:vAlign w:val="center"/>
          </w:tcPr>
          <w:p w14:paraId="3A038048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College Algebra</w:t>
            </w:r>
          </w:p>
        </w:tc>
        <w:tc>
          <w:tcPr>
            <w:tcW w:w="1515" w:type="dxa"/>
            <w:vMerge w:val="restart"/>
            <w:vAlign w:val="center"/>
          </w:tcPr>
          <w:p w14:paraId="335D1CBA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Math</w:t>
            </w:r>
          </w:p>
        </w:tc>
        <w:tc>
          <w:tcPr>
            <w:tcW w:w="1501" w:type="dxa"/>
            <w:vMerge w:val="restart"/>
            <w:vAlign w:val="center"/>
          </w:tcPr>
          <w:p w14:paraId="1623EBDB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22</w:t>
            </w:r>
          </w:p>
        </w:tc>
        <w:tc>
          <w:tcPr>
            <w:tcW w:w="3541" w:type="dxa"/>
            <w:vAlign w:val="center"/>
          </w:tcPr>
          <w:p w14:paraId="7B1BF3B1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Quantitative Reasoning &amp; Statistics</w:t>
            </w:r>
            <w:r>
              <w:rPr>
                <w:rFonts w:cstheme="minorHAnsi"/>
                <w:szCs w:val="24"/>
              </w:rPr>
              <w:t>⁺</w:t>
            </w:r>
          </w:p>
        </w:tc>
        <w:tc>
          <w:tcPr>
            <w:tcW w:w="1921" w:type="dxa"/>
            <w:gridSpan w:val="3"/>
            <w:tcBorders>
              <w:top w:val="single" w:sz="4" w:space="0" w:color="auto"/>
            </w:tcBorders>
            <w:vAlign w:val="center"/>
          </w:tcPr>
          <w:p w14:paraId="7A60C3E9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2</w:t>
            </w:r>
            <w:r>
              <w:rPr>
                <w:szCs w:val="24"/>
              </w:rPr>
              <w:t>41</w:t>
            </w:r>
          </w:p>
        </w:tc>
      </w:tr>
      <w:tr w:rsidR="002A412A" w14:paraId="6F113C42" w14:textId="77777777" w:rsidTr="00691887">
        <w:trPr>
          <w:trHeight w:val="377"/>
        </w:trPr>
        <w:tc>
          <w:tcPr>
            <w:tcW w:w="2659" w:type="dxa"/>
            <w:vMerge/>
            <w:vAlign w:val="center"/>
          </w:tcPr>
          <w:p w14:paraId="189B121A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14:paraId="10123701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1501" w:type="dxa"/>
            <w:vMerge/>
            <w:vAlign w:val="center"/>
          </w:tcPr>
          <w:p w14:paraId="25D4E6C0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</w:p>
        </w:tc>
        <w:tc>
          <w:tcPr>
            <w:tcW w:w="3541" w:type="dxa"/>
            <w:vAlign w:val="center"/>
          </w:tcPr>
          <w:p w14:paraId="73A50EDE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Advanced Algebra &amp; Functions</w:t>
            </w:r>
            <w:r>
              <w:rPr>
                <w:rFonts w:ascii="Calibri" w:hAnsi="Calibri" w:cs="Calibri"/>
                <w:szCs w:val="24"/>
              </w:rPr>
              <w:t>⁺</w:t>
            </w:r>
          </w:p>
        </w:tc>
        <w:tc>
          <w:tcPr>
            <w:tcW w:w="1921" w:type="dxa"/>
            <w:gridSpan w:val="3"/>
            <w:vAlign w:val="center"/>
          </w:tcPr>
          <w:p w14:paraId="1E38408E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237</w:t>
            </w:r>
          </w:p>
        </w:tc>
      </w:tr>
      <w:tr w:rsidR="002A412A" w14:paraId="6305093C" w14:textId="77777777" w:rsidTr="00691887">
        <w:trPr>
          <w:trHeight w:val="368"/>
        </w:trPr>
        <w:tc>
          <w:tcPr>
            <w:tcW w:w="2659" w:type="dxa"/>
            <w:vAlign w:val="center"/>
          </w:tcPr>
          <w:p w14:paraId="0341A46B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All </w:t>
            </w:r>
            <w:r w:rsidRPr="00FF054A">
              <w:rPr>
                <w:szCs w:val="24"/>
              </w:rPr>
              <w:t>other dual credit class</w:t>
            </w:r>
            <w:r>
              <w:rPr>
                <w:szCs w:val="24"/>
              </w:rPr>
              <w:t>es</w:t>
            </w:r>
            <w:r w:rsidRPr="00FF054A">
              <w:rPr>
                <w:szCs w:val="24"/>
              </w:rPr>
              <w:t xml:space="preserve"> </w:t>
            </w:r>
          </w:p>
        </w:tc>
        <w:tc>
          <w:tcPr>
            <w:tcW w:w="1515" w:type="dxa"/>
            <w:vAlign w:val="center"/>
          </w:tcPr>
          <w:p w14:paraId="084D5AD7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Reading</w:t>
            </w:r>
          </w:p>
        </w:tc>
        <w:tc>
          <w:tcPr>
            <w:tcW w:w="1501" w:type="dxa"/>
            <w:vAlign w:val="center"/>
          </w:tcPr>
          <w:p w14:paraId="1AA2A5E7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18</w:t>
            </w:r>
          </w:p>
        </w:tc>
        <w:tc>
          <w:tcPr>
            <w:tcW w:w="3541" w:type="dxa"/>
            <w:vAlign w:val="center"/>
          </w:tcPr>
          <w:p w14:paraId="6CC35770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Reading</w:t>
            </w:r>
          </w:p>
        </w:tc>
        <w:tc>
          <w:tcPr>
            <w:tcW w:w="1921" w:type="dxa"/>
            <w:gridSpan w:val="3"/>
            <w:vAlign w:val="center"/>
          </w:tcPr>
          <w:p w14:paraId="1CFE4E0D" w14:textId="77777777" w:rsidR="002A412A" w:rsidRPr="00FF054A" w:rsidRDefault="002A412A" w:rsidP="00691887">
            <w:pPr>
              <w:jc w:val="center"/>
              <w:rPr>
                <w:szCs w:val="24"/>
              </w:rPr>
            </w:pPr>
            <w:r w:rsidRPr="00FF054A">
              <w:rPr>
                <w:szCs w:val="24"/>
              </w:rPr>
              <w:t>248</w:t>
            </w:r>
          </w:p>
        </w:tc>
      </w:tr>
    </w:tbl>
    <w:p w14:paraId="0C57C9A5" w14:textId="77777777" w:rsidR="008A6765" w:rsidRDefault="002A412A" w:rsidP="002A412A">
      <w:pPr>
        <w:rPr>
          <w:sz w:val="16"/>
          <w:szCs w:val="24"/>
        </w:rPr>
      </w:pPr>
      <w:r w:rsidRPr="0059145C">
        <w:rPr>
          <w:sz w:val="16"/>
          <w:szCs w:val="24"/>
        </w:rPr>
        <w:t xml:space="preserve">^ If you have an AP Score of 3 or higher on AP English Language &amp; Composition, you will receive credit for ENGL 101 and do not need to complete </w:t>
      </w:r>
      <w:r w:rsidR="0065489D" w:rsidRPr="009E51A2">
        <w:rPr>
          <w:sz w:val="16"/>
          <w:szCs w:val="24"/>
        </w:rPr>
        <w:t xml:space="preserve">reading or writing </w:t>
      </w:r>
      <w:r w:rsidRPr="009E51A2">
        <w:rPr>
          <w:sz w:val="16"/>
          <w:szCs w:val="24"/>
        </w:rPr>
        <w:t>placemen</w:t>
      </w:r>
      <w:r w:rsidR="0065489D" w:rsidRPr="009E51A2">
        <w:rPr>
          <w:sz w:val="16"/>
          <w:szCs w:val="24"/>
        </w:rPr>
        <w:t>t</w:t>
      </w:r>
      <w:r w:rsidRPr="009E51A2">
        <w:rPr>
          <w:sz w:val="16"/>
          <w:szCs w:val="24"/>
        </w:rPr>
        <w:t>.</w:t>
      </w:r>
      <w:r>
        <w:rPr>
          <w:sz w:val="16"/>
          <w:szCs w:val="24"/>
        </w:rPr>
        <w:br/>
      </w:r>
      <w:r w:rsidRPr="0059145C">
        <w:rPr>
          <w:sz w:val="16"/>
          <w:szCs w:val="24"/>
        </w:rPr>
        <w:t>* If taking the Accuplacer for Composition &amp; Reading, both the reading and writing tests are required. The scores</w:t>
      </w:r>
      <w:r>
        <w:rPr>
          <w:sz w:val="16"/>
          <w:szCs w:val="24"/>
        </w:rPr>
        <w:t xml:space="preserve"> are dependent upon each other.</w:t>
      </w:r>
      <w:r>
        <w:rPr>
          <w:sz w:val="16"/>
          <w:szCs w:val="24"/>
        </w:rPr>
        <w:br/>
      </w:r>
      <w:r>
        <w:rPr>
          <w:rFonts w:cstheme="minorHAnsi"/>
          <w:sz w:val="16"/>
          <w:szCs w:val="24"/>
        </w:rPr>
        <w:t>⁺</w:t>
      </w:r>
      <w:r w:rsidRPr="0059145C">
        <w:rPr>
          <w:sz w:val="16"/>
          <w:szCs w:val="24"/>
        </w:rPr>
        <w:t>The Math Accuplacer is a two-part test. Students must score high enough on the first test (Quantitative Reasoning &amp; Statistics) in order to take the Advanced Algebra &amp; Functions test, which will determine dual credit eligibility.</w:t>
      </w:r>
    </w:p>
    <w:p w14:paraId="53402BB2" w14:textId="7C226953" w:rsidR="002A412A" w:rsidRPr="005C1AD8" w:rsidRDefault="008A6765" w:rsidP="002A412A">
      <w:pPr>
        <w:rPr>
          <w:sz w:val="14"/>
          <w:szCs w:val="24"/>
        </w:rPr>
      </w:pPr>
      <w:r>
        <w:rPr>
          <w:sz w:val="16"/>
          <w:szCs w:val="24"/>
        </w:rPr>
        <w:t xml:space="preserve">**Seniors </w:t>
      </w:r>
      <w:r w:rsidR="0010440D">
        <w:rPr>
          <w:sz w:val="16"/>
          <w:szCs w:val="24"/>
        </w:rPr>
        <w:t>in their final semester may qualify</w:t>
      </w:r>
      <w:r w:rsidR="006D78C2">
        <w:rPr>
          <w:sz w:val="16"/>
          <w:szCs w:val="24"/>
        </w:rPr>
        <w:t xml:space="preserve"> for enrollment</w:t>
      </w:r>
      <w:r w:rsidR="00DB64BC">
        <w:rPr>
          <w:sz w:val="16"/>
          <w:szCs w:val="24"/>
        </w:rPr>
        <w:t xml:space="preserve"> for all courses, except College Algebra</w:t>
      </w:r>
      <w:r w:rsidR="009740C8">
        <w:rPr>
          <w:sz w:val="16"/>
          <w:szCs w:val="24"/>
        </w:rPr>
        <w:t>,</w:t>
      </w:r>
      <w:r w:rsidR="0010440D">
        <w:rPr>
          <w:sz w:val="16"/>
          <w:szCs w:val="24"/>
        </w:rPr>
        <w:t xml:space="preserve"> with an unweighted cumulative GPA of 3.0 or higher</w:t>
      </w:r>
      <w:r w:rsidR="006D78C2">
        <w:rPr>
          <w:sz w:val="16"/>
          <w:szCs w:val="24"/>
        </w:rPr>
        <w:t xml:space="preserve">. Placement test scores are not needed. </w:t>
      </w:r>
      <w:r w:rsidR="00DB64BC">
        <w:rPr>
          <w:sz w:val="16"/>
          <w:szCs w:val="24"/>
        </w:rPr>
        <w:t xml:space="preserve"> Seniors in their final semester may qualify for enrollment </w:t>
      </w:r>
      <w:r w:rsidR="00F804B8">
        <w:rPr>
          <w:sz w:val="16"/>
          <w:szCs w:val="24"/>
        </w:rPr>
        <w:t>in College Algebra with an unweighted cumulative GPA of 3.3 or higher.</w:t>
      </w:r>
      <w:r w:rsidR="002A412A">
        <w:rPr>
          <w:sz w:val="16"/>
          <w:szCs w:val="16"/>
        </w:rPr>
        <w:br/>
      </w:r>
      <w:r w:rsidR="002A412A" w:rsidRPr="00106E9D">
        <w:rPr>
          <w:sz w:val="4"/>
          <w:szCs w:val="16"/>
        </w:rPr>
        <w:br/>
      </w:r>
      <w:r w:rsidR="000738C3">
        <w:br/>
      </w:r>
      <w:r w:rsidR="002A412A" w:rsidRPr="005C1AD8">
        <w:rPr>
          <w:sz w:val="20"/>
        </w:rPr>
        <w:t xml:space="preserve">If you have previously taken the ACCUPLACER and qualified based upon those score(s) you do not need to retest in those areas. If not:  </w:t>
      </w:r>
    </w:p>
    <w:p w14:paraId="20838FB6" w14:textId="7E29E813" w:rsidR="00BB13D6" w:rsidRDefault="005C1AD8" w:rsidP="00BF6D42">
      <w:pPr>
        <w:pStyle w:val="ListParagraph"/>
        <w:numPr>
          <w:ilvl w:val="0"/>
          <w:numId w:val="13"/>
        </w:numPr>
      </w:pPr>
      <w:r w:rsidRPr="00BF6D42">
        <w:rPr>
          <w:rFonts w:eastAsiaTheme="minorEastAsia"/>
          <w:sz w:val="20"/>
        </w:rPr>
        <w:t>Test at PH</w:t>
      </w:r>
      <w:r w:rsidR="00A9083A" w:rsidRPr="00BF6D42">
        <w:rPr>
          <w:rFonts w:eastAsiaTheme="minorEastAsia"/>
          <w:sz w:val="20"/>
        </w:rPr>
        <w:t>H</w:t>
      </w:r>
      <w:r w:rsidRPr="00BF6D42">
        <w:rPr>
          <w:rFonts w:eastAsiaTheme="minorEastAsia"/>
          <w:sz w:val="20"/>
        </w:rPr>
        <w:t>S</w:t>
      </w:r>
      <w:r w:rsidR="00DF03F9" w:rsidRPr="00BF6D42">
        <w:rPr>
          <w:rFonts w:eastAsiaTheme="minorEastAsia"/>
          <w:sz w:val="20"/>
        </w:rPr>
        <w:t xml:space="preserve"> on Tuesday, </w:t>
      </w:r>
      <w:r w:rsidR="00110FC3">
        <w:rPr>
          <w:rFonts w:eastAsiaTheme="minorEastAsia"/>
          <w:sz w:val="20"/>
        </w:rPr>
        <w:t>January</w:t>
      </w:r>
      <w:r w:rsidR="00DF03F9" w:rsidRPr="00BF6D42">
        <w:rPr>
          <w:rFonts w:eastAsiaTheme="minorEastAsia"/>
          <w:sz w:val="20"/>
        </w:rPr>
        <w:t xml:space="preserve"> 18</w:t>
      </w:r>
      <w:r w:rsidR="00DF03F9" w:rsidRPr="00BF6D42">
        <w:rPr>
          <w:rFonts w:eastAsiaTheme="minorEastAsia"/>
          <w:sz w:val="20"/>
          <w:vertAlign w:val="superscript"/>
        </w:rPr>
        <w:t>th</w:t>
      </w:r>
      <w:r w:rsidR="00BB13D6" w:rsidRPr="00BF6D42">
        <w:rPr>
          <w:rFonts w:eastAsiaTheme="minorEastAsia"/>
          <w:sz w:val="20"/>
        </w:rPr>
        <w:t xml:space="preserve"> at 3:00 P.M.  Access the following link to register: </w:t>
      </w:r>
      <w:hyperlink r:id="rId19" w:history="1">
        <w:r w:rsidR="00BF6D42" w:rsidRPr="004D58D4">
          <w:rPr>
            <w:rStyle w:val="Hyperlink"/>
          </w:rPr>
          <w:t>https://forms.gle/BSx8upyKe7aV5LUJ9</w:t>
        </w:r>
      </w:hyperlink>
    </w:p>
    <w:p w14:paraId="62111B8A" w14:textId="6D708664" w:rsidR="002A412A" w:rsidRPr="005C1AD8" w:rsidRDefault="002A412A" w:rsidP="002A412A">
      <w:pPr>
        <w:pStyle w:val="ListParagraph"/>
        <w:numPr>
          <w:ilvl w:val="0"/>
          <w:numId w:val="11"/>
        </w:numPr>
        <w:spacing w:after="0" w:line="276" w:lineRule="auto"/>
        <w:rPr>
          <w:rFonts w:eastAsiaTheme="minorEastAsia"/>
          <w:sz w:val="20"/>
        </w:rPr>
      </w:pPr>
      <w:r w:rsidRPr="005C1AD8">
        <w:rPr>
          <w:bCs/>
          <w:sz w:val="20"/>
        </w:rPr>
        <w:t xml:space="preserve">In person, testing at Maple Woods is </w:t>
      </w:r>
      <w:r w:rsidR="003511A6">
        <w:rPr>
          <w:bCs/>
          <w:sz w:val="20"/>
        </w:rPr>
        <w:t xml:space="preserve">available </w:t>
      </w:r>
      <w:r w:rsidRPr="005C1AD8">
        <w:rPr>
          <w:bCs/>
          <w:sz w:val="20"/>
        </w:rPr>
        <w:t xml:space="preserve">on a </w:t>
      </w:r>
      <w:r w:rsidR="003D1549" w:rsidRPr="005C1AD8">
        <w:rPr>
          <w:bCs/>
          <w:sz w:val="20"/>
        </w:rPr>
        <w:t>walk-in</w:t>
      </w:r>
      <w:r w:rsidRPr="005C1AD8">
        <w:rPr>
          <w:bCs/>
          <w:sz w:val="20"/>
        </w:rPr>
        <w:t xml:space="preserve"> basis. </w:t>
      </w:r>
      <w:r w:rsidR="000738C3" w:rsidRPr="005C1AD8">
        <w:rPr>
          <w:bCs/>
          <w:sz w:val="20"/>
        </w:rPr>
        <w:t>See hours below.</w:t>
      </w:r>
    </w:p>
    <w:p w14:paraId="455A5DF1" w14:textId="2C0102CB" w:rsidR="002A412A" w:rsidRPr="005C1AD8" w:rsidRDefault="002A412A" w:rsidP="002A412A">
      <w:pPr>
        <w:pStyle w:val="ListParagraph"/>
        <w:numPr>
          <w:ilvl w:val="0"/>
          <w:numId w:val="11"/>
        </w:numPr>
        <w:spacing w:after="0" w:line="276" w:lineRule="auto"/>
        <w:rPr>
          <w:rFonts w:eastAsiaTheme="minorEastAsia"/>
          <w:sz w:val="20"/>
        </w:rPr>
      </w:pPr>
      <w:r w:rsidRPr="005C1AD8">
        <w:rPr>
          <w:bCs/>
          <w:sz w:val="20"/>
        </w:rPr>
        <w:t xml:space="preserve">A small number of virtual tests are available by appointment. Email </w:t>
      </w:r>
      <w:hyperlink r:id="rId20" w:history="1">
        <w:r w:rsidR="00756FE6" w:rsidRPr="006A700C">
          <w:rPr>
            <w:rStyle w:val="Hyperlink"/>
            <w:bCs/>
            <w:sz w:val="20"/>
          </w:rPr>
          <w:t>keri.cerdareynolds@mcckc.edu</w:t>
        </w:r>
      </w:hyperlink>
      <w:r w:rsidRPr="005C1AD8">
        <w:rPr>
          <w:bCs/>
          <w:sz w:val="20"/>
        </w:rPr>
        <w:t xml:space="preserve"> to inquire about availability. Include name, MCC ID, and your high school in your message.</w:t>
      </w:r>
    </w:p>
    <w:p w14:paraId="36D2B41A" w14:textId="0C5F7394" w:rsidR="002A412A" w:rsidRPr="005C1AD8" w:rsidRDefault="002A412A" w:rsidP="002A412A">
      <w:pPr>
        <w:pStyle w:val="ListParagraph"/>
        <w:numPr>
          <w:ilvl w:val="0"/>
          <w:numId w:val="11"/>
        </w:numPr>
        <w:spacing w:after="0" w:line="276" w:lineRule="auto"/>
        <w:rPr>
          <w:rFonts w:eastAsiaTheme="minorEastAsia"/>
          <w:sz w:val="20"/>
        </w:rPr>
      </w:pPr>
      <w:r w:rsidRPr="005C1AD8">
        <w:rPr>
          <w:sz w:val="20"/>
        </w:rPr>
        <w:t xml:space="preserve">You must take the ACCUPLACER on or before </w:t>
      </w:r>
      <w:r w:rsidR="00DF03F9">
        <w:rPr>
          <w:sz w:val="20"/>
        </w:rPr>
        <w:t>Friday, January 21st</w:t>
      </w:r>
      <w:r w:rsidRPr="005C1AD8">
        <w:rPr>
          <w:sz w:val="20"/>
        </w:rPr>
        <w:t xml:space="preserve">. </w:t>
      </w:r>
    </w:p>
    <w:p w14:paraId="4C542335" w14:textId="645C77C0" w:rsidR="002A412A" w:rsidRPr="005C1AD8" w:rsidRDefault="005C1AD8" w:rsidP="002A412A">
      <w:pPr>
        <w:spacing w:after="0"/>
        <w:rPr>
          <w:rStyle w:val="Hyperlink"/>
          <w:rFonts w:cstheme="minorHAnsi"/>
          <w:b/>
          <w:sz w:val="8"/>
        </w:rPr>
      </w:pPr>
      <w:r>
        <w:rPr>
          <w:rStyle w:val="Hyperlink"/>
          <w:rFonts w:cstheme="minorHAnsi"/>
          <w:b/>
          <w:sz w:val="8"/>
        </w:rPr>
        <w:br/>
      </w:r>
      <w:r>
        <w:rPr>
          <w:rStyle w:val="Hyperlink"/>
          <w:rFonts w:cstheme="minorHAnsi"/>
          <w:b/>
          <w:sz w:val="8"/>
        </w:rPr>
        <w:br/>
      </w:r>
    </w:p>
    <w:p w14:paraId="3421BC4D" w14:textId="77777777" w:rsidR="002A412A" w:rsidRPr="005C1AD8" w:rsidRDefault="002A412A" w:rsidP="002A412A">
      <w:pPr>
        <w:spacing w:after="0"/>
        <w:contextualSpacing/>
        <w:rPr>
          <w:rStyle w:val="Hyperlink"/>
          <w:iCs/>
          <w:sz w:val="8"/>
        </w:rPr>
      </w:pPr>
    </w:p>
    <w:p w14:paraId="0D41A3D4" w14:textId="477A93F1" w:rsidR="002A412A" w:rsidRPr="005C1AD8" w:rsidRDefault="002A412A" w:rsidP="002A412A">
      <w:pPr>
        <w:spacing w:after="0"/>
        <w:contextualSpacing/>
        <w:rPr>
          <w:b/>
          <w:bCs/>
          <w:iCs/>
          <w:sz w:val="20"/>
        </w:rPr>
        <w:sectPr w:rsidR="002A412A" w:rsidRPr="005C1AD8" w:rsidSect="000738C3">
          <w:type w:val="continuous"/>
          <w:pgSz w:w="12240" w:h="15840"/>
          <w:pgMar w:top="1980" w:right="720" w:bottom="450" w:left="720" w:header="720" w:footer="720" w:gutter="0"/>
          <w:cols w:space="720"/>
          <w:docGrid w:linePitch="360"/>
        </w:sectPr>
      </w:pPr>
      <w:r w:rsidRPr="005C1AD8">
        <w:rPr>
          <w:rStyle w:val="Hyperlink"/>
          <w:b/>
          <w:bCs/>
          <w:iCs/>
          <w:sz w:val="20"/>
        </w:rPr>
        <w:br/>
      </w:r>
    </w:p>
    <w:p w14:paraId="2A36A4EE" w14:textId="77777777" w:rsidR="002A412A" w:rsidRPr="005C1AD8" w:rsidRDefault="002A412A" w:rsidP="002A412A">
      <w:pPr>
        <w:spacing w:line="240" w:lineRule="auto"/>
        <w:rPr>
          <w:rFonts w:ascii="Arial" w:hAnsi="Arial" w:cs="Arial"/>
          <w:b/>
          <w:bCs/>
          <w:sz w:val="24"/>
          <w:szCs w:val="28"/>
        </w:rPr>
      </w:pPr>
      <w:r w:rsidRPr="005C1AD8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4C55A" wp14:editId="43B3ED4E">
                <wp:simplePos x="0" y="0"/>
                <wp:positionH relativeFrom="column">
                  <wp:posOffset>600075</wp:posOffset>
                </wp:positionH>
                <wp:positionV relativeFrom="paragraph">
                  <wp:posOffset>1524000</wp:posOffset>
                </wp:positionV>
                <wp:extent cx="295275" cy="466725"/>
                <wp:effectExtent l="9525" t="0" r="0" b="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95275" cy="46672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674AF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47.25pt;margin-top:120pt;width:23.25pt;height:36.7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" adj="14767" fillcolor="red" stroked="f" strokeweight="1pt"/>
            </w:pict>
          </mc:Fallback>
        </mc:AlternateContent>
      </w:r>
      <w:r w:rsidRPr="005C1AD8">
        <w:rPr>
          <w:noProof/>
          <w:sz w:val="20"/>
        </w:rPr>
        <w:drawing>
          <wp:inline distT="0" distB="0" distL="0" distR="0" wp14:anchorId="68A39A7B" wp14:editId="676A5605">
            <wp:extent cx="2442617" cy="2646680"/>
            <wp:effectExtent l="0" t="0" r="0" b="1270"/>
            <wp:docPr id="3" name="Picture 3" descr="MCC-Maple Woods Campus Map | Metropolitan Community 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C-Maple Woods Campus Map | Metropolitan Community College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4" t="19082" r="44439" b="20543"/>
                    <a:stretch/>
                  </pic:blipFill>
                  <pic:spPr bwMode="auto">
                    <a:xfrm>
                      <a:off x="0" y="0"/>
                      <a:ext cx="2453268" cy="26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61F8AF" w14:textId="49424B4D" w:rsidR="002A412A" w:rsidRPr="005C1AD8" w:rsidRDefault="002A412A" w:rsidP="002A412A">
      <w:pPr>
        <w:spacing w:line="240" w:lineRule="auto"/>
        <w:rPr>
          <w:rFonts w:eastAsiaTheme="minorEastAsia"/>
          <w:sz w:val="20"/>
        </w:rPr>
        <w:sectPr w:rsidR="002A412A" w:rsidRPr="005C1AD8" w:rsidSect="00006258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  <w:r w:rsidRPr="005C1AD8">
        <w:rPr>
          <w:rFonts w:ascii="Arial" w:hAnsi="Arial" w:cs="Arial"/>
          <w:b/>
          <w:bCs/>
          <w:sz w:val="24"/>
          <w:szCs w:val="28"/>
        </w:rPr>
        <w:t>MW Testing Center</w:t>
      </w:r>
      <w:r w:rsidRPr="005C1AD8">
        <w:rPr>
          <w:rFonts w:ascii="Arial" w:hAnsi="Arial" w:cs="Arial"/>
          <w:b/>
          <w:bCs/>
          <w:sz w:val="24"/>
          <w:szCs w:val="28"/>
        </w:rPr>
        <w:br/>
      </w:r>
      <w:r w:rsidRPr="005C1AD8">
        <w:rPr>
          <w:rFonts w:eastAsiaTheme="minorEastAsia"/>
          <w:sz w:val="20"/>
        </w:rPr>
        <w:t xml:space="preserve">The MCC-Maple Woods Testing Center in the Learning Resources Building, Room 174, (located on the bottom level) </w:t>
      </w:r>
      <w:r w:rsidRPr="005C1AD8">
        <w:rPr>
          <w:rFonts w:eastAsiaTheme="minorEastAsia"/>
          <w:sz w:val="20"/>
        </w:rPr>
        <w:br/>
      </w:r>
      <w:r w:rsidRPr="005C1AD8">
        <w:rPr>
          <w:rFonts w:eastAsiaTheme="minorEastAsia"/>
          <w:sz w:val="6"/>
        </w:rPr>
        <w:br/>
      </w:r>
      <w:r w:rsidRPr="005C1AD8">
        <w:rPr>
          <w:rFonts w:eastAsiaTheme="minorEastAsia"/>
          <w:b/>
          <w:sz w:val="20"/>
        </w:rPr>
        <w:t>Phone</w:t>
      </w:r>
      <w:r w:rsidRPr="005C1AD8">
        <w:rPr>
          <w:rFonts w:eastAsiaTheme="minorEastAsia"/>
          <w:sz w:val="20"/>
        </w:rPr>
        <w:t>: 816-604-3334</w:t>
      </w:r>
      <w:r w:rsidRPr="005C1AD8">
        <w:rPr>
          <w:sz w:val="20"/>
        </w:rPr>
        <w:t xml:space="preserve"> </w:t>
      </w:r>
      <w:r w:rsidRPr="005C1AD8">
        <w:rPr>
          <w:rFonts w:ascii="Arial" w:hAnsi="Arial" w:cs="Arial"/>
          <w:sz w:val="20"/>
        </w:rPr>
        <w:br/>
      </w:r>
      <w:r w:rsidRPr="005C1AD8">
        <w:rPr>
          <w:b/>
          <w:bCs/>
          <w:sz w:val="6"/>
        </w:rPr>
        <w:br/>
      </w:r>
      <w:r w:rsidRPr="005C1AD8">
        <w:rPr>
          <w:b/>
          <w:bCs/>
          <w:sz w:val="20"/>
        </w:rPr>
        <w:t>Testing Hours</w:t>
      </w:r>
      <w:r w:rsidRPr="005C1AD8">
        <w:rPr>
          <w:rFonts w:ascii="Arial" w:hAnsi="Arial" w:cs="Arial"/>
          <w:sz w:val="20"/>
        </w:rPr>
        <w:br/>
      </w:r>
      <w:r w:rsidRPr="005C1AD8">
        <w:rPr>
          <w:bCs/>
          <w:sz w:val="20"/>
        </w:rPr>
        <w:t>Monday, Thursday, and Friday – 8</w:t>
      </w:r>
      <w:r w:rsidR="00A64167">
        <w:rPr>
          <w:bCs/>
          <w:sz w:val="20"/>
        </w:rPr>
        <w:t>:30</w:t>
      </w:r>
      <w:r w:rsidRPr="005C1AD8">
        <w:rPr>
          <w:bCs/>
          <w:sz w:val="20"/>
        </w:rPr>
        <w:t>am to 4:</w:t>
      </w:r>
      <w:r w:rsidR="00A64167">
        <w:rPr>
          <w:bCs/>
          <w:sz w:val="20"/>
        </w:rPr>
        <w:t>00</w:t>
      </w:r>
      <w:r w:rsidRPr="005C1AD8">
        <w:rPr>
          <w:bCs/>
          <w:sz w:val="20"/>
        </w:rPr>
        <w:t>pm</w:t>
      </w:r>
      <w:r w:rsidRPr="005C1AD8">
        <w:rPr>
          <w:rFonts w:ascii="Arial" w:hAnsi="Arial" w:cs="Arial"/>
          <w:sz w:val="20"/>
        </w:rPr>
        <w:br/>
      </w:r>
      <w:r w:rsidRPr="005C1AD8">
        <w:rPr>
          <w:bCs/>
          <w:sz w:val="20"/>
        </w:rPr>
        <w:t>Tuesday and Wednesday – 8</w:t>
      </w:r>
      <w:r w:rsidR="00A64167">
        <w:rPr>
          <w:bCs/>
          <w:sz w:val="20"/>
        </w:rPr>
        <w:t>:30</w:t>
      </w:r>
      <w:r w:rsidRPr="005C1AD8">
        <w:rPr>
          <w:bCs/>
          <w:sz w:val="20"/>
        </w:rPr>
        <w:t xml:space="preserve">am to </w:t>
      </w:r>
      <w:r w:rsidR="00430D0D">
        <w:rPr>
          <w:bCs/>
          <w:sz w:val="20"/>
        </w:rPr>
        <w:t>6:30</w:t>
      </w:r>
      <w:r w:rsidRPr="005C1AD8">
        <w:rPr>
          <w:bCs/>
          <w:sz w:val="20"/>
        </w:rPr>
        <w:t>pm</w:t>
      </w:r>
      <w:r w:rsidRPr="005C1AD8">
        <w:rPr>
          <w:bCs/>
          <w:sz w:val="20"/>
        </w:rPr>
        <w:br/>
      </w:r>
      <w:r w:rsidRPr="005C1AD8">
        <w:rPr>
          <w:rFonts w:eastAsiaTheme="minorEastAsia"/>
          <w:sz w:val="6"/>
        </w:rPr>
        <w:br/>
      </w:r>
      <w:r w:rsidRPr="005C1AD8">
        <w:rPr>
          <w:bCs/>
          <w:sz w:val="20"/>
        </w:rPr>
        <w:t>Arrive at least an hour before closing if taking the reading and/or writing tests.   Arrive at least 90 minutes before closing if taking the math test.</w:t>
      </w:r>
      <w:r w:rsidRPr="005C1AD8">
        <w:rPr>
          <w:bCs/>
          <w:sz w:val="20"/>
        </w:rPr>
        <w:br/>
      </w:r>
      <w:r w:rsidRPr="005C1AD8">
        <w:rPr>
          <w:bCs/>
          <w:sz w:val="6"/>
        </w:rPr>
        <w:br/>
      </w:r>
      <w:r w:rsidRPr="005C1AD8">
        <w:rPr>
          <w:b/>
          <w:bCs/>
          <w:sz w:val="20"/>
        </w:rPr>
        <w:t>You must have a photo ID and MCC ID number to test. Masks are currently required when on campus.</w:t>
      </w:r>
    </w:p>
    <w:p w14:paraId="1E6FB3F0" w14:textId="782E205C" w:rsidR="005F2076" w:rsidRPr="002A412A" w:rsidRDefault="00D03321" w:rsidP="002A412A">
      <w:pPr>
        <w:spacing w:line="240" w:lineRule="auto"/>
        <w:rPr>
          <w:sz w:val="12"/>
          <w:szCs w:val="32"/>
        </w:rPr>
      </w:pPr>
    </w:p>
    <w:sectPr w:rsidR="005F2076" w:rsidRPr="002A412A" w:rsidSect="00042FCE">
      <w:type w:val="continuous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00EC" w14:textId="77777777" w:rsidR="00BF510B" w:rsidRDefault="00BF510B" w:rsidP="00446F99">
      <w:pPr>
        <w:spacing w:after="0" w:line="240" w:lineRule="auto"/>
      </w:pPr>
      <w:r>
        <w:separator/>
      </w:r>
    </w:p>
  </w:endnote>
  <w:endnote w:type="continuationSeparator" w:id="0">
    <w:p w14:paraId="75E70C3E" w14:textId="77777777" w:rsidR="00BF510B" w:rsidRDefault="00BF510B" w:rsidP="0044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AF141" w14:textId="77777777" w:rsidR="00BF510B" w:rsidRDefault="00BF510B" w:rsidP="00446F99">
      <w:pPr>
        <w:spacing w:after="0" w:line="240" w:lineRule="auto"/>
      </w:pPr>
      <w:r>
        <w:separator/>
      </w:r>
    </w:p>
  </w:footnote>
  <w:footnote w:type="continuationSeparator" w:id="0">
    <w:p w14:paraId="1B2F3F98" w14:textId="77777777" w:rsidR="00BF510B" w:rsidRDefault="00BF510B" w:rsidP="00446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E2F61" w14:textId="6925238E" w:rsidR="00446F99" w:rsidRDefault="000738C3" w:rsidP="00446F99">
    <w:pPr>
      <w:pStyle w:val="Header"/>
      <w:jc w:val="center"/>
    </w:pPr>
    <w:r>
      <w:rPr>
        <w:noProof/>
      </w:rPr>
      <w:drawing>
        <wp:inline distT="0" distB="0" distL="0" distR="0" wp14:anchorId="5902BD76" wp14:editId="50D1F259">
          <wp:extent cx="2578735" cy="702099"/>
          <wp:effectExtent l="0" t="0" r="0" b="9525"/>
          <wp:docPr id="1" name="Picture 1" descr="L:\Admissions_CRC\Recruiting Files\Marketing\Logos\marie MCC Logos\MCC_MW_colo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8735" cy="702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10C1A"/>
    <w:multiLevelType w:val="hybridMultilevel"/>
    <w:tmpl w:val="2050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7D"/>
    <w:multiLevelType w:val="hybridMultilevel"/>
    <w:tmpl w:val="BE6E191A"/>
    <w:lvl w:ilvl="0" w:tplc="46688926">
      <w:start w:val="1"/>
      <w:numFmt w:val="decimal"/>
      <w:lvlText w:val="%1."/>
      <w:lvlJc w:val="left"/>
      <w:pPr>
        <w:ind w:left="720" w:hanging="360"/>
      </w:pPr>
    </w:lvl>
    <w:lvl w:ilvl="1" w:tplc="DC72C50A">
      <w:start w:val="1"/>
      <w:numFmt w:val="lowerLetter"/>
      <w:lvlText w:val="%2."/>
      <w:lvlJc w:val="left"/>
      <w:pPr>
        <w:ind w:left="1440" w:hanging="360"/>
      </w:pPr>
    </w:lvl>
    <w:lvl w:ilvl="2" w:tplc="C33690B6">
      <w:start w:val="1"/>
      <w:numFmt w:val="lowerRoman"/>
      <w:lvlText w:val="%3."/>
      <w:lvlJc w:val="right"/>
      <w:pPr>
        <w:ind w:left="2160" w:hanging="180"/>
      </w:pPr>
    </w:lvl>
    <w:lvl w:ilvl="3" w:tplc="37A06F60">
      <w:start w:val="1"/>
      <w:numFmt w:val="decimal"/>
      <w:lvlText w:val="%4."/>
      <w:lvlJc w:val="left"/>
      <w:pPr>
        <w:ind w:left="2880" w:hanging="360"/>
      </w:pPr>
    </w:lvl>
    <w:lvl w:ilvl="4" w:tplc="533E0BF2">
      <w:start w:val="1"/>
      <w:numFmt w:val="lowerLetter"/>
      <w:lvlText w:val="%5."/>
      <w:lvlJc w:val="left"/>
      <w:pPr>
        <w:ind w:left="3600" w:hanging="360"/>
      </w:pPr>
    </w:lvl>
    <w:lvl w:ilvl="5" w:tplc="84846312">
      <w:start w:val="1"/>
      <w:numFmt w:val="lowerRoman"/>
      <w:lvlText w:val="%6."/>
      <w:lvlJc w:val="right"/>
      <w:pPr>
        <w:ind w:left="4320" w:hanging="180"/>
      </w:pPr>
    </w:lvl>
    <w:lvl w:ilvl="6" w:tplc="384644BE">
      <w:start w:val="1"/>
      <w:numFmt w:val="decimal"/>
      <w:lvlText w:val="%7."/>
      <w:lvlJc w:val="left"/>
      <w:pPr>
        <w:ind w:left="5040" w:hanging="360"/>
      </w:pPr>
    </w:lvl>
    <w:lvl w:ilvl="7" w:tplc="8280CA32">
      <w:start w:val="1"/>
      <w:numFmt w:val="lowerLetter"/>
      <w:lvlText w:val="%8."/>
      <w:lvlJc w:val="left"/>
      <w:pPr>
        <w:ind w:left="5760" w:hanging="360"/>
      </w:pPr>
    </w:lvl>
    <w:lvl w:ilvl="8" w:tplc="78D63D2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133F7"/>
    <w:multiLevelType w:val="hybridMultilevel"/>
    <w:tmpl w:val="D20A6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1F4327"/>
    <w:multiLevelType w:val="hybridMultilevel"/>
    <w:tmpl w:val="C7F46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6F0324"/>
    <w:multiLevelType w:val="hybridMultilevel"/>
    <w:tmpl w:val="4A34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F0737A"/>
    <w:multiLevelType w:val="hybridMultilevel"/>
    <w:tmpl w:val="D7D245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1616F3"/>
    <w:multiLevelType w:val="hybridMultilevel"/>
    <w:tmpl w:val="A8EAC5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0022F"/>
    <w:multiLevelType w:val="hybridMultilevel"/>
    <w:tmpl w:val="7B3C404C"/>
    <w:lvl w:ilvl="0" w:tplc="159C7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5637F"/>
    <w:multiLevelType w:val="hybridMultilevel"/>
    <w:tmpl w:val="9BC08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D23F1"/>
    <w:multiLevelType w:val="hybridMultilevel"/>
    <w:tmpl w:val="0158FA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940A2"/>
    <w:multiLevelType w:val="hybridMultilevel"/>
    <w:tmpl w:val="FC68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E6724"/>
    <w:multiLevelType w:val="hybridMultilevel"/>
    <w:tmpl w:val="76D2E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20290"/>
    <w:multiLevelType w:val="hybridMultilevel"/>
    <w:tmpl w:val="65BA07D2"/>
    <w:lvl w:ilvl="0" w:tplc="8396B0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90974"/>
    <w:multiLevelType w:val="hybridMultilevel"/>
    <w:tmpl w:val="A8E4DC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C02185"/>
    <w:multiLevelType w:val="hybridMultilevel"/>
    <w:tmpl w:val="4B7666C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7B6AB3"/>
    <w:multiLevelType w:val="hybridMultilevel"/>
    <w:tmpl w:val="D41E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C7337"/>
    <w:multiLevelType w:val="hybridMultilevel"/>
    <w:tmpl w:val="89CCCC52"/>
    <w:lvl w:ilvl="0" w:tplc="E892D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CD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A0C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B8B3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6C5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80FF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A95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083C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3CC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15043"/>
    <w:multiLevelType w:val="hybridMultilevel"/>
    <w:tmpl w:val="BD4C8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2"/>
  </w:num>
  <w:num w:numId="5">
    <w:abstractNumId w:val="0"/>
  </w:num>
  <w:num w:numId="6">
    <w:abstractNumId w:val="17"/>
  </w:num>
  <w:num w:numId="7">
    <w:abstractNumId w:val="6"/>
  </w:num>
  <w:num w:numId="8">
    <w:abstractNumId w:val="14"/>
  </w:num>
  <w:num w:numId="9">
    <w:abstractNumId w:val="11"/>
  </w:num>
  <w:num w:numId="10">
    <w:abstractNumId w:val="10"/>
  </w:num>
  <w:num w:numId="11">
    <w:abstractNumId w:val="15"/>
  </w:num>
  <w:num w:numId="12">
    <w:abstractNumId w:val="12"/>
  </w:num>
  <w:num w:numId="13">
    <w:abstractNumId w:val="4"/>
  </w:num>
  <w:num w:numId="14">
    <w:abstractNumId w:val="7"/>
  </w:num>
  <w:num w:numId="15">
    <w:abstractNumId w:val="13"/>
  </w:num>
  <w:num w:numId="16">
    <w:abstractNumId w:val="5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D41"/>
    <w:rsid w:val="0001373A"/>
    <w:rsid w:val="00016B0E"/>
    <w:rsid w:val="00027403"/>
    <w:rsid w:val="00031EAE"/>
    <w:rsid w:val="00042FCE"/>
    <w:rsid w:val="000521AD"/>
    <w:rsid w:val="000738C3"/>
    <w:rsid w:val="000A6C1B"/>
    <w:rsid w:val="000F3BA1"/>
    <w:rsid w:val="000F7368"/>
    <w:rsid w:val="0010440D"/>
    <w:rsid w:val="00110FC3"/>
    <w:rsid w:val="001120C1"/>
    <w:rsid w:val="001647AF"/>
    <w:rsid w:val="001C0D70"/>
    <w:rsid w:val="001D50BD"/>
    <w:rsid w:val="001E0AA9"/>
    <w:rsid w:val="001E1F59"/>
    <w:rsid w:val="00207324"/>
    <w:rsid w:val="002763CD"/>
    <w:rsid w:val="002A412A"/>
    <w:rsid w:val="002A7033"/>
    <w:rsid w:val="002E7F86"/>
    <w:rsid w:val="0034219E"/>
    <w:rsid w:val="003511A6"/>
    <w:rsid w:val="00394C28"/>
    <w:rsid w:val="003C650D"/>
    <w:rsid w:val="003D1549"/>
    <w:rsid w:val="003E6CCE"/>
    <w:rsid w:val="00430D0D"/>
    <w:rsid w:val="0044395C"/>
    <w:rsid w:val="00446F99"/>
    <w:rsid w:val="004C1F8A"/>
    <w:rsid w:val="004D0D41"/>
    <w:rsid w:val="005201B5"/>
    <w:rsid w:val="005247A2"/>
    <w:rsid w:val="00535CE1"/>
    <w:rsid w:val="00543355"/>
    <w:rsid w:val="005A440B"/>
    <w:rsid w:val="005C1AD8"/>
    <w:rsid w:val="00616DEB"/>
    <w:rsid w:val="00625030"/>
    <w:rsid w:val="00651155"/>
    <w:rsid w:val="0065489D"/>
    <w:rsid w:val="00696EEA"/>
    <w:rsid w:val="006D78C2"/>
    <w:rsid w:val="0070092F"/>
    <w:rsid w:val="007242EB"/>
    <w:rsid w:val="00750D7F"/>
    <w:rsid w:val="00756FE6"/>
    <w:rsid w:val="00892D80"/>
    <w:rsid w:val="008A6765"/>
    <w:rsid w:val="008A7AEB"/>
    <w:rsid w:val="008B45CE"/>
    <w:rsid w:val="008C1559"/>
    <w:rsid w:val="008C350C"/>
    <w:rsid w:val="009336F9"/>
    <w:rsid w:val="009740C8"/>
    <w:rsid w:val="009E51A2"/>
    <w:rsid w:val="009F22A1"/>
    <w:rsid w:val="009F244A"/>
    <w:rsid w:val="009F2F07"/>
    <w:rsid w:val="00A3376D"/>
    <w:rsid w:val="00A64167"/>
    <w:rsid w:val="00A73A61"/>
    <w:rsid w:val="00A9083A"/>
    <w:rsid w:val="00A94109"/>
    <w:rsid w:val="00A96B32"/>
    <w:rsid w:val="00AB3415"/>
    <w:rsid w:val="00AE0BD2"/>
    <w:rsid w:val="00B170DE"/>
    <w:rsid w:val="00B51F91"/>
    <w:rsid w:val="00B92F77"/>
    <w:rsid w:val="00BA22B0"/>
    <w:rsid w:val="00BB13D6"/>
    <w:rsid w:val="00BF510B"/>
    <w:rsid w:val="00BF6D42"/>
    <w:rsid w:val="00BF7720"/>
    <w:rsid w:val="00C548B2"/>
    <w:rsid w:val="00CB7FB9"/>
    <w:rsid w:val="00CC119B"/>
    <w:rsid w:val="00D03321"/>
    <w:rsid w:val="00DB64BC"/>
    <w:rsid w:val="00DF03F9"/>
    <w:rsid w:val="00DF268F"/>
    <w:rsid w:val="00E3080E"/>
    <w:rsid w:val="00E324E9"/>
    <w:rsid w:val="00E57915"/>
    <w:rsid w:val="00E8261E"/>
    <w:rsid w:val="00E922E9"/>
    <w:rsid w:val="00EB49A4"/>
    <w:rsid w:val="00F2173C"/>
    <w:rsid w:val="00F41812"/>
    <w:rsid w:val="00F804B8"/>
    <w:rsid w:val="00FC7BD4"/>
    <w:rsid w:val="00FF5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56B24"/>
  <w15:chartTrackingRefBased/>
  <w15:docId w15:val="{920E8B37-4DF2-4AF6-8C6D-2800DF5F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0D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D0D4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0D41"/>
    <w:pPr>
      <w:ind w:left="720"/>
      <w:contextualSpacing/>
    </w:pPr>
  </w:style>
  <w:style w:type="paragraph" w:customStyle="1" w:styleId="Default">
    <w:name w:val="Default"/>
    <w:rsid w:val="009F24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0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F99"/>
  </w:style>
  <w:style w:type="paragraph" w:styleId="Footer">
    <w:name w:val="footer"/>
    <w:basedOn w:val="Normal"/>
    <w:link w:val="FooterChar"/>
    <w:uiPriority w:val="99"/>
    <w:unhideWhenUsed/>
    <w:rsid w:val="00446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F99"/>
  </w:style>
  <w:style w:type="character" w:styleId="FollowedHyperlink">
    <w:name w:val="FollowedHyperlink"/>
    <w:basedOn w:val="DefaultParagraphFont"/>
    <w:uiPriority w:val="99"/>
    <w:semiHidden/>
    <w:unhideWhenUsed/>
    <w:rsid w:val="00042FC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2A41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12A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2A412A"/>
    <w:rPr>
      <w:rFonts w:ascii="Arial" w:eastAsia="Times New Roman" w:hAnsi="Arial" w:cs="Times New Roman"/>
      <w:sz w:val="32"/>
      <w:szCs w:val="20"/>
    </w:rPr>
  </w:style>
  <w:style w:type="character" w:customStyle="1" w:styleId="ms-pagetitle">
    <w:name w:val="ms-pagetitle"/>
    <w:basedOn w:val="DefaultParagraphFont"/>
    <w:rsid w:val="002A412A"/>
  </w:style>
  <w:style w:type="character" w:styleId="UnresolvedMention">
    <w:name w:val="Unresolved Mention"/>
    <w:basedOn w:val="DefaultParagraphFont"/>
    <w:uiPriority w:val="99"/>
    <w:semiHidden/>
    <w:unhideWhenUsed/>
    <w:rsid w:val="00BF6D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6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rldefense.com/v3/__https:/bit.ly/MW-Dual-Credit__;!!NQI0uig!ybwWNIOpfNmFmwXo1qKqm8ON0G-eedeTWJfuBuHbrMzFOg2aOLOB9bkAyDrW6wedHHko4Erb$" TargetMode="External"/><Relationship Id="rId18" Type="http://schemas.openxmlformats.org/officeDocument/2006/relationships/hyperlink" Target="mailto:Lori.Callow@mcckc.edu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mailto:Keri.CerdaReynolds@mcckc.ed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illerD@parkhill.k12.mo.us" TargetMode="External"/><Relationship Id="rId20" Type="http://schemas.openxmlformats.org/officeDocument/2006/relationships/hyperlink" Target="mailto:keri.cerdareynolds@mcckc.ed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creencast-o-matic.com/watch/cYlXFB8hbT" TargetMode="External"/><Relationship Id="rId5" Type="http://schemas.openxmlformats.org/officeDocument/2006/relationships/styles" Target="styles.xml"/><Relationship Id="rId15" Type="http://schemas.openxmlformats.org/officeDocument/2006/relationships/hyperlink" Target="https://My.MCCKC.ed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cckc.edu/apply" TargetMode="External"/><Relationship Id="rId19" Type="http://schemas.openxmlformats.org/officeDocument/2006/relationships/hyperlink" Target="https://forms.gle/BSx8upyKe7aV5LUJ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W.Admissions@mcckc.edu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5C6126619C1F4DAAA9E6C3298108EA" ma:contentTypeVersion="12" ma:contentTypeDescription="Create a new document." ma:contentTypeScope="" ma:versionID="5b1801424db8b1f0ff0599c78df20294">
  <xsd:schema xmlns:xsd="http://www.w3.org/2001/XMLSchema" xmlns:xs="http://www.w3.org/2001/XMLSchema" xmlns:p="http://schemas.microsoft.com/office/2006/metadata/properties" xmlns:ns3="70c57db8-b83f-4400-96f0-64a057263594" xmlns:ns4="01e3649a-ffd3-4c62-a8cf-92e962052174" targetNamespace="http://schemas.microsoft.com/office/2006/metadata/properties" ma:root="true" ma:fieldsID="5c6a5013ddb2769c4024ef5c77ca1f56" ns3:_="" ns4:_="">
    <xsd:import namespace="70c57db8-b83f-4400-96f0-64a057263594"/>
    <xsd:import namespace="01e3649a-ffd3-4c62-a8cf-92e9620521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57db8-b83f-4400-96f0-64a0572635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3649a-ffd3-4c62-a8cf-92e9620521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8C6520-DC6F-4A18-A1DA-C1A8D87122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79580E-8B39-4558-8981-8BFB734D0A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C4A369-3170-4DE7-82A2-8961620EE1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57db8-b83f-4400-96f0-64a057263594"/>
    <ds:schemaRef ds:uri="01e3649a-ffd3-4c62-a8cf-92e962052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4425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Community College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Minor,Andy M</dc:creator>
  <cp:keywords/>
  <dc:description/>
  <cp:lastModifiedBy>Lucas, Darcy</cp:lastModifiedBy>
  <cp:revision>2</cp:revision>
  <cp:lastPrinted>2022-01-11T18:07:00Z</cp:lastPrinted>
  <dcterms:created xsi:type="dcterms:W3CDTF">2022-01-11T21:15:00Z</dcterms:created>
  <dcterms:modified xsi:type="dcterms:W3CDTF">2022-01-11T21:15:00Z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0x010100715C6126619C1F4DAAA9E6C3298108EA</vt:lpwstr>
  </property>
</Properties>
</file>